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37561" w14:textId="77777777" w:rsidR="00D83294" w:rsidRDefault="004A6355" w:rsidP="002A0E5A">
      <w:r>
        <w:rPr>
          <w:b/>
          <w:sz w:val="24"/>
        </w:rPr>
        <w:t xml:space="preserve"> CONSELHO DE ARQUITETURA E URBANISMO DA PARAÍBA - CAU/PB </w:t>
      </w:r>
    </w:p>
    <w:p w14:paraId="6A5AB88B" w14:textId="77777777" w:rsidR="00D83294" w:rsidRDefault="004A6355" w:rsidP="007A7A07">
      <w:pPr>
        <w:spacing w:after="272" w:line="259" w:lineRule="auto"/>
        <w:ind w:left="132" w:right="0" w:firstLine="0"/>
      </w:pPr>
      <w:r>
        <w:rPr>
          <w:b/>
          <w:sz w:val="18"/>
        </w:rPr>
        <w:t xml:space="preserve"> EDITAL DE SELEÇÃO PÚBLICA DE PROJETOS RELACIONADOS À POPULARIZAÇÃO E DIFUSÃO DE AÇÕES EM ATHIS </w:t>
      </w:r>
    </w:p>
    <w:p w14:paraId="35669014" w14:textId="77777777" w:rsidR="00D83294" w:rsidRDefault="004A6355" w:rsidP="007A7A07">
      <w:pPr>
        <w:pStyle w:val="Ttulo1"/>
        <w:jc w:val="both"/>
      </w:pPr>
      <w:r>
        <w:t xml:space="preserve"> EDITAL DE CHAMAMENTO PÚBLICO CAU/PB 0</w:t>
      </w:r>
      <w:r w:rsidR="00103237">
        <w:t>1</w:t>
      </w:r>
      <w:r>
        <w:t>/202</w:t>
      </w:r>
      <w:r w:rsidR="00103237">
        <w:t>3</w:t>
      </w:r>
      <w:r>
        <w:rPr>
          <w:u w:val="none"/>
        </w:rPr>
        <w:t xml:space="preserve"> </w:t>
      </w:r>
    </w:p>
    <w:p w14:paraId="5C6D4A2F" w14:textId="74AF6806" w:rsidR="00D83294" w:rsidRDefault="004A6355" w:rsidP="007A7A07">
      <w:pPr>
        <w:spacing w:after="0"/>
        <w:ind w:right="2"/>
      </w:pPr>
      <w:r>
        <w:t xml:space="preserve"> O  Conselho  de  Arquitetura  e  Urbanismo  da  Paraíba  (CAU/PB)  torna  público  o  presente  Edital  de  Chamamento  Público,  que  visa  à  convocação  de </w:t>
      </w:r>
      <w:r>
        <w:rPr>
          <w:b/>
        </w:rPr>
        <w:t xml:space="preserve"> 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de  ações  em  Assistência  Técnica  em  Habitação  de  Interesse  Social  (ATHIS)</w:t>
      </w:r>
      <w:r>
        <w:t>,   para  que  apresentem  ações  relevantes  para  essa  área,  a  serem  selecionadas  para  receber  FOMENTO  do  CAU/PB,  consoante  os  termos  deste  Edital,  da  Resolução  CAU/BR  nº 94 ,  de  7  de  novembro  de 2014 ,  Portaria  CAU/PB  07/2015  de  28  de  abril  de</w:t>
      </w:r>
      <w:r w:rsidR="007A7A07">
        <w:t xml:space="preserve"> </w:t>
      </w:r>
      <w:r>
        <w:t xml:space="preserve"> 2015,  que  regulamenta  a  concessão  de  patrocínios  pelo  Conselho  de  Arquitetura  e  Urbanismo  da  Paraíba ( CAU/PB),  e  a  Deliberação  Plenária  </w:t>
      </w:r>
      <w:r w:rsidR="007A7A07" w:rsidRPr="007A7A07">
        <w:t>DPOPB Nº 130-03/2023</w:t>
      </w:r>
      <w:r>
        <w:t xml:space="preserve">,  que  aprovou  </w:t>
      </w:r>
      <w:r w:rsidR="007A7A07">
        <w:t>a Rep</w:t>
      </w:r>
      <w:r>
        <w:t xml:space="preserve">rogramação  Orçamentária do CAU/PB, disponíveis no site </w:t>
      </w:r>
      <w:hyperlink r:id="rId8">
        <w:r>
          <w:rPr>
            <w:color w:val="1155CC"/>
            <w:u w:val="single" w:color="1155CC"/>
          </w:rPr>
          <w:t xml:space="preserve"> </w:t>
        </w:r>
      </w:hyperlink>
      <w:hyperlink r:id="rId9">
        <w:r>
          <w:rPr>
            <w:color w:val="1155CC"/>
            <w:u w:val="single" w:color="1155CC"/>
          </w:rPr>
          <w:t>www.caupb.gov.br</w:t>
        </w:r>
      </w:hyperlink>
      <w:hyperlink r:id="rId10">
        <w:r>
          <w:t>.</w:t>
        </w:r>
      </w:hyperlink>
      <w:hyperlink r:id="rId11">
        <w:r>
          <w:t xml:space="preserve"> </w:t>
        </w:r>
      </w:hyperlink>
      <w:r>
        <w:t xml:space="preserve"> </w:t>
      </w:r>
    </w:p>
    <w:p w14:paraId="67C3C5A3" w14:textId="77777777" w:rsidR="00D83294" w:rsidRDefault="004A6355" w:rsidP="007A7A07">
      <w:pPr>
        <w:pStyle w:val="Ttulo2"/>
        <w:spacing w:after="101"/>
        <w:rPr>
          <w:vertAlign w:val="superscript"/>
        </w:rPr>
      </w:pPr>
      <w:r>
        <w:t xml:space="preserve"> CRONOGRAMA</w:t>
      </w:r>
      <w:r>
        <w:rPr>
          <w:vertAlign w:val="superscript"/>
        </w:rPr>
        <w:footnoteReference w:id="1"/>
      </w:r>
      <w:r>
        <w:t xml:space="preserve"> </w:t>
      </w:r>
      <w:r>
        <w:rPr>
          <w:vertAlign w:val="superscript"/>
        </w:rPr>
        <w:footnoteReference w:id="2"/>
      </w:r>
      <w:r>
        <w:rPr>
          <w:vertAlign w:val="superscript"/>
        </w:rPr>
        <w:t xml:space="preserve"> </w:t>
      </w:r>
      <w:r>
        <w:rPr>
          <w:vertAlign w:val="superscript"/>
        </w:rPr>
        <w:footnoteReference w:id="3"/>
      </w:r>
      <w:r>
        <w:rPr>
          <w:vertAlign w:val="superscript"/>
        </w:rPr>
        <w:footnoteReference w:id="4"/>
      </w:r>
      <w:r>
        <w:rPr>
          <w:vertAlign w:val="superscript"/>
        </w:rPr>
        <w:footnoteReference w:id="5"/>
      </w:r>
    </w:p>
    <w:tbl>
      <w:tblPr>
        <w:tblStyle w:val="TableGrid"/>
        <w:tblW w:w="9592" w:type="dxa"/>
        <w:tblInd w:w="-1" w:type="dxa"/>
        <w:tblCellMar>
          <w:left w:w="106" w:type="dxa"/>
          <w:right w:w="115" w:type="dxa"/>
        </w:tblCellMar>
        <w:tblLook w:val="04A0" w:firstRow="1" w:lastRow="0" w:firstColumn="1" w:lastColumn="0" w:noHBand="0" w:noVBand="1"/>
      </w:tblPr>
      <w:tblGrid>
        <w:gridCol w:w="2218"/>
        <w:gridCol w:w="7374"/>
      </w:tblGrid>
      <w:tr w:rsidR="00A86859" w:rsidRPr="00E406FB" w14:paraId="4FF1F822" w14:textId="77777777" w:rsidTr="00377FF8">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4DEDCB7B" w14:textId="77777777" w:rsidR="00A86859" w:rsidRPr="00E406FB" w:rsidRDefault="00A86859" w:rsidP="00377FF8">
            <w:pPr>
              <w:tabs>
                <w:tab w:val="center" w:pos="785"/>
              </w:tabs>
              <w:spacing w:after="0" w:line="259" w:lineRule="auto"/>
              <w:ind w:right="0" w:firstLine="0"/>
              <w:jc w:val="left"/>
            </w:pPr>
            <w:r>
              <w:rPr>
                <w:sz w:val="18"/>
              </w:rPr>
              <w:t>19</w:t>
            </w:r>
            <w:r w:rsidRPr="00E406FB">
              <w:rPr>
                <w:sz w:val="18"/>
              </w:rPr>
              <w:t>/10/2023 (</w:t>
            </w:r>
            <w:proofErr w:type="spellStart"/>
            <w:r>
              <w:rPr>
                <w:sz w:val="18"/>
              </w:rPr>
              <w:t>qui</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36A41622" w14:textId="77777777" w:rsidR="00A86859" w:rsidRPr="00E406FB" w:rsidRDefault="00A86859" w:rsidP="00377FF8">
            <w:pPr>
              <w:spacing w:after="0" w:line="259" w:lineRule="auto"/>
              <w:ind w:right="0" w:firstLine="0"/>
              <w:jc w:val="left"/>
            </w:pPr>
            <w:r w:rsidRPr="00E406FB">
              <w:rPr>
                <w:b/>
                <w:sz w:val="18"/>
              </w:rPr>
              <w:t xml:space="preserve"> Lançamento do Edital e início das submissões de propostas. </w:t>
            </w:r>
          </w:p>
        </w:tc>
      </w:tr>
      <w:tr w:rsidR="00A86859" w:rsidRPr="00E406FB" w14:paraId="31B64AD1" w14:textId="77777777" w:rsidTr="00377FF8">
        <w:trPr>
          <w:trHeight w:val="689"/>
        </w:trPr>
        <w:tc>
          <w:tcPr>
            <w:tcW w:w="2218" w:type="dxa"/>
            <w:tcBorders>
              <w:top w:val="single" w:sz="6" w:space="0" w:color="D9D9D9"/>
              <w:left w:val="single" w:sz="6" w:space="0" w:color="D9D9D9"/>
              <w:bottom w:val="single" w:sz="6" w:space="0" w:color="D9D9D9"/>
              <w:right w:val="single" w:sz="6" w:space="0" w:color="D9D9D9"/>
            </w:tcBorders>
            <w:vAlign w:val="center"/>
          </w:tcPr>
          <w:p w14:paraId="10C90BC4" w14:textId="77777777" w:rsidR="00A86859" w:rsidRPr="00E406FB" w:rsidRDefault="00A86859" w:rsidP="00377FF8">
            <w:pPr>
              <w:spacing w:after="0" w:line="259" w:lineRule="auto"/>
              <w:ind w:right="0" w:firstLine="0"/>
              <w:jc w:val="left"/>
            </w:pPr>
            <w:r w:rsidRPr="00E406FB">
              <w:rPr>
                <w:sz w:val="18"/>
              </w:rPr>
              <w:t xml:space="preserve"> Até </w:t>
            </w:r>
            <w:r>
              <w:rPr>
                <w:sz w:val="18"/>
              </w:rPr>
              <w:t>27</w:t>
            </w:r>
            <w:r w:rsidRPr="00E406FB">
              <w:rPr>
                <w:sz w:val="18"/>
              </w:rPr>
              <w:t>/10/2022 (</w:t>
            </w:r>
            <w:r>
              <w:rPr>
                <w:sz w:val="18"/>
              </w:rPr>
              <w:t>sex</w:t>
            </w:r>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0BD528C3" w14:textId="77777777" w:rsidR="00A86859" w:rsidRPr="00E406FB" w:rsidRDefault="00A86859" w:rsidP="00377FF8">
            <w:pPr>
              <w:spacing w:after="0" w:line="259" w:lineRule="auto"/>
              <w:ind w:right="0" w:firstLine="0"/>
              <w:jc w:val="left"/>
            </w:pPr>
            <w:r w:rsidRPr="00E406FB">
              <w:rPr>
                <w:sz w:val="18"/>
              </w:rPr>
              <w:t xml:space="preserve"> Prazo de impugnação ao Edital</w:t>
            </w:r>
            <w:r w:rsidRPr="00E406FB">
              <w:rPr>
                <w:sz w:val="17"/>
                <w:vertAlign w:val="superscript"/>
              </w:rPr>
              <w:t>4</w:t>
            </w:r>
            <w:r w:rsidRPr="00E406FB">
              <w:rPr>
                <w:sz w:val="18"/>
              </w:rPr>
              <w:t xml:space="preserve"> .  </w:t>
            </w:r>
          </w:p>
          <w:p w14:paraId="0B896A0E" w14:textId="77777777" w:rsidR="00A86859" w:rsidRPr="00E406FB" w:rsidRDefault="00A86859" w:rsidP="00377FF8">
            <w:pPr>
              <w:spacing w:after="0" w:line="259" w:lineRule="auto"/>
              <w:ind w:right="0" w:firstLine="0"/>
              <w:jc w:val="left"/>
            </w:pPr>
            <w:r w:rsidRPr="00E406FB">
              <w:rPr>
                <w:i/>
                <w:color w:val="999999"/>
                <w:sz w:val="18"/>
              </w:rPr>
              <w:t xml:space="preserve"> Deverá ser protocolado via e-mail, endereçado à gerenciageral@caupb.gov.br. </w:t>
            </w:r>
          </w:p>
        </w:tc>
      </w:tr>
      <w:tr w:rsidR="00A86859" w:rsidRPr="00E406FB" w14:paraId="17E59A47" w14:textId="77777777" w:rsidTr="00377FF8">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39610274" w14:textId="77777777" w:rsidR="00A86859" w:rsidRPr="00E406FB" w:rsidRDefault="00A86859" w:rsidP="00377FF8">
            <w:pPr>
              <w:spacing w:after="0" w:line="259" w:lineRule="auto"/>
              <w:ind w:right="0" w:firstLine="0"/>
              <w:jc w:val="left"/>
            </w:pPr>
            <w:r w:rsidRPr="00E406FB">
              <w:rPr>
                <w:sz w:val="18"/>
              </w:rPr>
              <w:t xml:space="preserve"> Até </w:t>
            </w:r>
            <w:r>
              <w:rPr>
                <w:sz w:val="18"/>
              </w:rPr>
              <w:t>01</w:t>
            </w:r>
            <w:r w:rsidRPr="00E406FB">
              <w:rPr>
                <w:sz w:val="18"/>
              </w:rPr>
              <w:t>/1</w:t>
            </w:r>
            <w:r>
              <w:rPr>
                <w:sz w:val="18"/>
              </w:rPr>
              <w:t>1</w:t>
            </w:r>
            <w:r w:rsidRPr="00E406FB">
              <w:rPr>
                <w:sz w:val="18"/>
              </w:rPr>
              <w:t>/2023 (</w:t>
            </w:r>
            <w:proofErr w:type="spellStart"/>
            <w:r>
              <w:rPr>
                <w:sz w:val="18"/>
              </w:rPr>
              <w:t>qua</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59A7DD67" w14:textId="77777777" w:rsidR="00A86859" w:rsidRPr="00E406FB" w:rsidRDefault="00A86859" w:rsidP="00377FF8">
            <w:pPr>
              <w:spacing w:after="0" w:line="259" w:lineRule="auto"/>
              <w:ind w:right="0" w:firstLine="0"/>
              <w:jc w:val="left"/>
            </w:pPr>
            <w:r w:rsidRPr="00E406FB">
              <w:rPr>
                <w:sz w:val="18"/>
              </w:rPr>
              <w:t xml:space="preserve"> Publicação da resposta à impugnação.</w:t>
            </w:r>
            <w:r w:rsidRPr="00E406FB">
              <w:rPr>
                <w:sz w:val="17"/>
                <w:vertAlign w:val="superscript"/>
              </w:rPr>
              <w:t>5</w:t>
            </w:r>
            <w:r w:rsidRPr="00E406FB">
              <w:rPr>
                <w:sz w:val="18"/>
              </w:rPr>
              <w:t xml:space="preserve"> </w:t>
            </w:r>
          </w:p>
        </w:tc>
      </w:tr>
      <w:tr w:rsidR="00A86859" w:rsidRPr="00E406FB" w14:paraId="5F134910" w14:textId="77777777" w:rsidTr="00377FF8">
        <w:trPr>
          <w:trHeight w:val="899"/>
        </w:trPr>
        <w:tc>
          <w:tcPr>
            <w:tcW w:w="2218" w:type="dxa"/>
            <w:tcBorders>
              <w:top w:val="single" w:sz="6" w:space="0" w:color="D9D9D9"/>
              <w:left w:val="single" w:sz="6" w:space="0" w:color="D9D9D9"/>
              <w:bottom w:val="single" w:sz="6" w:space="0" w:color="D9D9D9"/>
              <w:right w:val="single" w:sz="6" w:space="0" w:color="D9D9D9"/>
            </w:tcBorders>
            <w:vAlign w:val="center"/>
          </w:tcPr>
          <w:p w14:paraId="5E5C51CF" w14:textId="77777777" w:rsidR="00A86859" w:rsidRPr="00E406FB" w:rsidRDefault="00A86859" w:rsidP="00377FF8">
            <w:pPr>
              <w:tabs>
                <w:tab w:val="center" w:pos="848"/>
              </w:tabs>
              <w:spacing w:after="0" w:line="259" w:lineRule="auto"/>
              <w:ind w:right="0" w:firstLine="0"/>
              <w:jc w:val="left"/>
            </w:pPr>
            <w:r w:rsidRPr="00E406FB">
              <w:rPr>
                <w:b/>
                <w:sz w:val="18"/>
              </w:rPr>
              <w:t xml:space="preserve">05 </w:t>
            </w:r>
            <w:r w:rsidRPr="00E406FB">
              <w:rPr>
                <w:b/>
                <w:sz w:val="18"/>
              </w:rPr>
              <w:tab/>
              <w:t xml:space="preserve">/11/2023 (dom) </w:t>
            </w:r>
          </w:p>
        </w:tc>
        <w:tc>
          <w:tcPr>
            <w:tcW w:w="7374" w:type="dxa"/>
            <w:tcBorders>
              <w:top w:val="single" w:sz="6" w:space="0" w:color="D9D9D9"/>
              <w:left w:val="single" w:sz="6" w:space="0" w:color="D9D9D9"/>
              <w:bottom w:val="single" w:sz="6" w:space="0" w:color="D9D9D9"/>
              <w:right w:val="single" w:sz="6" w:space="0" w:color="D9D9D9"/>
            </w:tcBorders>
            <w:vAlign w:val="center"/>
          </w:tcPr>
          <w:p w14:paraId="16BB5EFF" w14:textId="77777777" w:rsidR="00A86859" w:rsidRPr="00E406FB" w:rsidRDefault="00A86859" w:rsidP="00377FF8">
            <w:pPr>
              <w:spacing w:after="0" w:line="229" w:lineRule="auto"/>
              <w:ind w:right="0" w:firstLine="0"/>
              <w:jc w:val="left"/>
            </w:pPr>
            <w:r w:rsidRPr="00E406FB">
              <w:rPr>
                <w:b/>
                <w:sz w:val="18"/>
              </w:rPr>
              <w:t xml:space="preserve"> PRAZO FINAL PARA ENVIO DAS PROPOSTAS, DOS RESPECTIVOS DOCUMENTOS DE  HABILITAÇÃO JURÍDICA E DE REGULARIDADES FISCAL. </w:t>
            </w:r>
          </w:p>
          <w:p w14:paraId="2D382C96" w14:textId="77777777" w:rsidR="00A86859" w:rsidRPr="00E406FB" w:rsidRDefault="00A86859" w:rsidP="00377FF8">
            <w:pPr>
              <w:spacing w:after="0" w:line="259" w:lineRule="auto"/>
              <w:ind w:right="0" w:firstLine="0"/>
              <w:jc w:val="left"/>
            </w:pPr>
            <w:r w:rsidRPr="00E406FB">
              <w:rPr>
                <w:i/>
                <w:color w:val="999999"/>
                <w:sz w:val="18"/>
              </w:rPr>
              <w:t xml:space="preserve"> Deverá ser protocolado via e-mail, endereçado à gerenciageral@caupb.gov.br. </w:t>
            </w:r>
          </w:p>
        </w:tc>
      </w:tr>
      <w:tr w:rsidR="00A86859" w:rsidRPr="00E406FB" w14:paraId="54B4DE11" w14:textId="77777777" w:rsidTr="00377FF8">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01E6CB19" w14:textId="77777777" w:rsidR="00A86859" w:rsidRPr="00E406FB" w:rsidRDefault="00A86859" w:rsidP="00377FF8">
            <w:pPr>
              <w:tabs>
                <w:tab w:val="center" w:pos="861"/>
              </w:tabs>
              <w:spacing w:after="30" w:line="259" w:lineRule="auto"/>
              <w:ind w:right="0" w:firstLine="0"/>
              <w:jc w:val="left"/>
            </w:pPr>
            <w:r w:rsidRPr="00E406FB">
              <w:rPr>
                <w:sz w:val="18"/>
              </w:rPr>
              <w:t xml:space="preserve">06 </w:t>
            </w:r>
            <w:r w:rsidRPr="00E406FB">
              <w:rPr>
                <w:sz w:val="18"/>
              </w:rPr>
              <w:tab/>
              <w:t>/11/2023 (</w:t>
            </w:r>
            <w:proofErr w:type="spellStart"/>
            <w:r w:rsidRPr="00E406FB">
              <w:rPr>
                <w:sz w:val="18"/>
              </w:rPr>
              <w:t>seg</w:t>
            </w:r>
            <w:proofErr w:type="spellEnd"/>
            <w:r w:rsidRPr="00E406FB">
              <w:rPr>
                <w:sz w:val="18"/>
              </w:rPr>
              <w:t xml:space="preserve">) a </w:t>
            </w:r>
          </w:p>
          <w:p w14:paraId="0E0A4139" w14:textId="77777777" w:rsidR="00A86859" w:rsidRPr="00E406FB" w:rsidRDefault="00A86859" w:rsidP="00377FF8">
            <w:pPr>
              <w:tabs>
                <w:tab w:val="center" w:pos="769"/>
              </w:tabs>
              <w:spacing w:after="0" w:line="259" w:lineRule="auto"/>
              <w:ind w:right="0" w:firstLine="0"/>
              <w:jc w:val="left"/>
            </w:pPr>
            <w:r w:rsidRPr="00E406FB">
              <w:rPr>
                <w:sz w:val="18"/>
              </w:rPr>
              <w:t xml:space="preserve">09 </w:t>
            </w:r>
            <w:r w:rsidRPr="00E406FB">
              <w:rPr>
                <w:sz w:val="18"/>
              </w:rPr>
              <w:tab/>
              <w:t>/11/2023 (</w:t>
            </w:r>
            <w:proofErr w:type="spellStart"/>
            <w:r w:rsidRPr="00E406FB">
              <w:rPr>
                <w:sz w:val="18"/>
              </w:rPr>
              <w:t>qui</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3A74D198" w14:textId="77777777" w:rsidR="00A86859" w:rsidRPr="00E406FB" w:rsidRDefault="00A86859" w:rsidP="00377FF8">
            <w:pPr>
              <w:spacing w:after="0" w:line="259" w:lineRule="auto"/>
              <w:ind w:right="0" w:firstLine="0"/>
              <w:jc w:val="left"/>
            </w:pPr>
            <w:r w:rsidRPr="00E406FB">
              <w:rPr>
                <w:sz w:val="18"/>
              </w:rPr>
              <w:t xml:space="preserve"> Período de análise da FASE 01. </w:t>
            </w:r>
          </w:p>
          <w:p w14:paraId="2E99934E" w14:textId="77777777" w:rsidR="00A86859" w:rsidRPr="00E406FB" w:rsidRDefault="00A86859" w:rsidP="00377FF8">
            <w:pPr>
              <w:spacing w:after="0" w:line="259" w:lineRule="auto"/>
              <w:ind w:right="0" w:firstLine="0"/>
              <w:jc w:val="left"/>
            </w:pPr>
            <w:r w:rsidRPr="00E406FB">
              <w:rPr>
                <w:sz w:val="18"/>
              </w:rPr>
              <w:t xml:space="preserve"> Reuniões para verificação das Propostas/Planos de Trabalho pela Comissão de Seleção. </w:t>
            </w:r>
          </w:p>
        </w:tc>
      </w:tr>
      <w:tr w:rsidR="00A86859" w:rsidRPr="00E406FB" w14:paraId="6EFFC857" w14:textId="77777777" w:rsidTr="00377FF8">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39B81E00" w14:textId="77777777" w:rsidR="00A86859" w:rsidRPr="00E406FB" w:rsidRDefault="00A86859" w:rsidP="00377FF8">
            <w:pPr>
              <w:tabs>
                <w:tab w:val="center" w:pos="785"/>
              </w:tabs>
              <w:spacing w:after="0" w:line="259" w:lineRule="auto"/>
              <w:ind w:right="0" w:firstLine="0"/>
              <w:jc w:val="left"/>
            </w:pPr>
            <w:r w:rsidRPr="00E406FB">
              <w:rPr>
                <w:sz w:val="18"/>
              </w:rPr>
              <w:t xml:space="preserve">10 </w:t>
            </w:r>
            <w:r w:rsidRPr="00E406FB">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6763A816" w14:textId="77777777" w:rsidR="00A86859" w:rsidRPr="00E406FB" w:rsidRDefault="00A86859" w:rsidP="00377FF8">
            <w:pPr>
              <w:spacing w:after="0" w:line="259" w:lineRule="auto"/>
              <w:ind w:right="0" w:firstLine="0"/>
              <w:jc w:val="left"/>
            </w:pPr>
            <w:r w:rsidRPr="00E406FB">
              <w:rPr>
                <w:b/>
                <w:sz w:val="18"/>
              </w:rPr>
              <w:t xml:space="preserve"> Divulgação do Resultado Preliminar da FASE 01. </w:t>
            </w:r>
          </w:p>
          <w:p w14:paraId="753435C5" w14:textId="77777777" w:rsidR="00A86859" w:rsidRPr="00E406FB" w:rsidRDefault="00A86859" w:rsidP="00377FF8">
            <w:pPr>
              <w:spacing w:after="0" w:line="259" w:lineRule="auto"/>
              <w:ind w:right="0" w:firstLine="0"/>
              <w:jc w:val="left"/>
            </w:pPr>
            <w:r w:rsidRPr="00E406FB">
              <w:rPr>
                <w:sz w:val="18"/>
              </w:rPr>
              <w:t xml:space="preserve"> Prazo para publicação da "Análise de Documentos e Parecer Parcial - FASE 01".</w:t>
            </w:r>
            <w:r w:rsidRPr="00E406FB">
              <w:rPr>
                <w:sz w:val="17"/>
                <w:vertAlign w:val="superscript"/>
              </w:rPr>
              <w:t>6</w:t>
            </w:r>
            <w:r w:rsidRPr="00E406FB">
              <w:rPr>
                <w:sz w:val="18"/>
              </w:rPr>
              <w:t xml:space="preserve"> </w:t>
            </w:r>
          </w:p>
        </w:tc>
      </w:tr>
      <w:tr w:rsidR="00A86859" w:rsidRPr="00E406FB" w14:paraId="2A1A7994" w14:textId="77777777" w:rsidTr="00377FF8">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65B5A285" w14:textId="77777777" w:rsidR="00A86859" w:rsidRPr="00E406FB" w:rsidRDefault="00A86859" w:rsidP="00377FF8">
            <w:pPr>
              <w:tabs>
                <w:tab w:val="center" w:pos="861"/>
              </w:tabs>
              <w:spacing w:after="0" w:line="259" w:lineRule="auto"/>
              <w:ind w:right="0" w:firstLine="0"/>
              <w:jc w:val="left"/>
            </w:pPr>
            <w:r w:rsidRPr="00E406FB">
              <w:rPr>
                <w:sz w:val="18"/>
              </w:rPr>
              <w:lastRenderedPageBreak/>
              <w:t>13/11/2023 (</w:t>
            </w:r>
            <w:proofErr w:type="spellStart"/>
            <w:r w:rsidRPr="00E406FB">
              <w:rPr>
                <w:sz w:val="18"/>
              </w:rPr>
              <w:t>seg</w:t>
            </w:r>
            <w:proofErr w:type="spellEnd"/>
            <w:r w:rsidRPr="00E406FB">
              <w:rPr>
                <w:sz w:val="18"/>
              </w:rPr>
              <w:t xml:space="preserve">) a </w:t>
            </w:r>
          </w:p>
        </w:tc>
        <w:tc>
          <w:tcPr>
            <w:tcW w:w="7374" w:type="dxa"/>
            <w:tcBorders>
              <w:top w:val="single" w:sz="6" w:space="0" w:color="D9D9D9"/>
              <w:left w:val="single" w:sz="6" w:space="0" w:color="D9D9D9"/>
              <w:bottom w:val="single" w:sz="6" w:space="0" w:color="D9D9D9"/>
              <w:right w:val="single" w:sz="6" w:space="0" w:color="D9D9D9"/>
            </w:tcBorders>
            <w:vAlign w:val="center"/>
          </w:tcPr>
          <w:p w14:paraId="0428BE55" w14:textId="77777777" w:rsidR="00A86859" w:rsidRPr="00E406FB" w:rsidRDefault="00A86859" w:rsidP="00377FF8">
            <w:pPr>
              <w:spacing w:after="0" w:line="259" w:lineRule="auto"/>
              <w:ind w:right="0" w:firstLine="0"/>
              <w:jc w:val="left"/>
            </w:pPr>
            <w:r w:rsidRPr="00E406FB">
              <w:rPr>
                <w:sz w:val="18"/>
              </w:rPr>
              <w:t xml:space="preserve"> Período de solicitação e análise de recursos da FASE 01. </w:t>
            </w:r>
          </w:p>
        </w:tc>
      </w:tr>
      <w:tr w:rsidR="00A86859" w:rsidRPr="00E406FB" w14:paraId="33FB1C19" w14:textId="77777777" w:rsidTr="00377FF8">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54B6ED2B" w14:textId="77777777" w:rsidR="00A86859" w:rsidRPr="00E406FB" w:rsidRDefault="00A86859" w:rsidP="00377FF8">
            <w:pPr>
              <w:tabs>
                <w:tab w:val="center" w:pos="769"/>
              </w:tabs>
              <w:spacing w:after="0" w:line="259" w:lineRule="auto"/>
              <w:ind w:right="0" w:firstLine="0"/>
              <w:jc w:val="left"/>
            </w:pPr>
            <w:r w:rsidRPr="00E406FB">
              <w:rPr>
                <w:sz w:val="18"/>
              </w:rPr>
              <w:t xml:space="preserve">16 </w:t>
            </w:r>
            <w:r w:rsidRPr="00E406FB">
              <w:rPr>
                <w:sz w:val="18"/>
              </w:rPr>
              <w:tab/>
              <w:t>/11/2023 (</w:t>
            </w:r>
            <w:proofErr w:type="spellStart"/>
            <w:r w:rsidRPr="00E406FB">
              <w:rPr>
                <w:sz w:val="18"/>
              </w:rPr>
              <w:t>qui</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08B572A0" w14:textId="77777777" w:rsidR="00A86859" w:rsidRPr="00E406FB" w:rsidRDefault="00A86859" w:rsidP="00377FF8">
            <w:pPr>
              <w:spacing w:after="0" w:line="259" w:lineRule="auto"/>
              <w:ind w:right="0" w:firstLine="0"/>
              <w:jc w:val="left"/>
            </w:pPr>
            <w:r w:rsidRPr="00E406FB">
              <w:rPr>
                <w:i/>
                <w:color w:val="999999"/>
                <w:sz w:val="18"/>
              </w:rPr>
              <w:t xml:space="preserve"> Deverá ser protocolado via e-mail, endereçado à gerenciageral@caupb.gov.br. </w:t>
            </w:r>
          </w:p>
        </w:tc>
      </w:tr>
      <w:tr w:rsidR="00A86859" w:rsidRPr="00E406FB" w14:paraId="54C40390" w14:textId="77777777" w:rsidTr="00377FF8">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4371B8DC" w14:textId="77777777" w:rsidR="00A86859" w:rsidRPr="00E406FB" w:rsidRDefault="00A86859" w:rsidP="00377FF8">
            <w:pPr>
              <w:tabs>
                <w:tab w:val="center" w:pos="785"/>
              </w:tabs>
              <w:spacing w:after="0" w:line="259" w:lineRule="auto"/>
              <w:ind w:right="0" w:firstLine="0"/>
              <w:jc w:val="left"/>
            </w:pPr>
            <w:r w:rsidRPr="00E406FB">
              <w:rPr>
                <w:sz w:val="18"/>
              </w:rPr>
              <w:t xml:space="preserve">17 </w:t>
            </w:r>
            <w:r w:rsidRPr="00E406FB">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7CCD9839" w14:textId="77777777" w:rsidR="00A86859" w:rsidRPr="00E406FB" w:rsidRDefault="00A86859" w:rsidP="00377FF8">
            <w:pPr>
              <w:spacing w:after="0" w:line="259" w:lineRule="auto"/>
              <w:ind w:right="0" w:firstLine="0"/>
              <w:jc w:val="left"/>
            </w:pPr>
            <w:r w:rsidRPr="00E406FB">
              <w:rPr>
                <w:b/>
                <w:sz w:val="18"/>
              </w:rPr>
              <w:t xml:space="preserve"> Divulgação do Resultado Final da FASE 01. </w:t>
            </w:r>
          </w:p>
          <w:p w14:paraId="7655CDC5" w14:textId="77777777" w:rsidR="00A86859" w:rsidRPr="00E406FB" w:rsidRDefault="00A86859" w:rsidP="00377FF8">
            <w:pPr>
              <w:spacing w:after="0" w:line="259" w:lineRule="auto"/>
              <w:ind w:right="0" w:firstLine="0"/>
              <w:jc w:val="left"/>
            </w:pPr>
            <w:r w:rsidRPr="00E406FB">
              <w:rPr>
                <w:sz w:val="18"/>
              </w:rPr>
              <w:t xml:space="preserve"> Publicação do "Parecer Conclusivo - FASE 01".</w:t>
            </w:r>
            <w:r w:rsidRPr="00E406FB">
              <w:rPr>
                <w:sz w:val="17"/>
                <w:vertAlign w:val="superscript"/>
              </w:rPr>
              <w:footnoteReference w:id="6"/>
            </w:r>
            <w:r w:rsidRPr="00E406FB">
              <w:rPr>
                <w:sz w:val="18"/>
              </w:rPr>
              <w:t xml:space="preserve"> </w:t>
            </w:r>
          </w:p>
        </w:tc>
      </w:tr>
      <w:tr w:rsidR="00A86859" w:rsidRPr="00E406FB" w14:paraId="718BE28B" w14:textId="77777777" w:rsidTr="00377FF8">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7EC99508" w14:textId="77777777" w:rsidR="00A86859" w:rsidRPr="00E406FB" w:rsidRDefault="00A86859" w:rsidP="00377FF8">
            <w:pPr>
              <w:tabs>
                <w:tab w:val="center" w:pos="861"/>
              </w:tabs>
              <w:spacing w:after="30" w:line="259" w:lineRule="auto"/>
              <w:ind w:right="0" w:firstLine="0"/>
              <w:jc w:val="left"/>
            </w:pPr>
            <w:r w:rsidRPr="00E406FB">
              <w:rPr>
                <w:sz w:val="18"/>
              </w:rPr>
              <w:t xml:space="preserve">20 </w:t>
            </w:r>
            <w:r w:rsidRPr="00E406FB">
              <w:rPr>
                <w:sz w:val="18"/>
              </w:rPr>
              <w:tab/>
              <w:t>/11/2023 (</w:t>
            </w:r>
            <w:proofErr w:type="spellStart"/>
            <w:r w:rsidRPr="00E406FB">
              <w:rPr>
                <w:sz w:val="18"/>
              </w:rPr>
              <w:t>seg</w:t>
            </w:r>
            <w:proofErr w:type="spellEnd"/>
            <w:r w:rsidRPr="00E406FB">
              <w:rPr>
                <w:sz w:val="18"/>
              </w:rPr>
              <w:t xml:space="preserve">) a </w:t>
            </w:r>
          </w:p>
          <w:p w14:paraId="16675F6D" w14:textId="77777777" w:rsidR="00A86859" w:rsidRPr="00E406FB" w:rsidRDefault="00A86859" w:rsidP="00377FF8">
            <w:pPr>
              <w:tabs>
                <w:tab w:val="center" w:pos="785"/>
              </w:tabs>
              <w:spacing w:after="0" w:line="259" w:lineRule="auto"/>
              <w:ind w:right="0" w:firstLine="0"/>
              <w:jc w:val="left"/>
            </w:pPr>
            <w:r w:rsidRPr="00E406FB">
              <w:rPr>
                <w:sz w:val="18"/>
              </w:rPr>
              <w:t>24</w:t>
            </w:r>
            <w:r w:rsidRPr="00E406FB">
              <w:rPr>
                <w:sz w:val="18"/>
              </w:rPr>
              <w:tab/>
              <w:t xml:space="preserve">/11/2023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16C49478" w14:textId="77777777" w:rsidR="00A86859" w:rsidRPr="00E406FB" w:rsidRDefault="00A86859" w:rsidP="00377FF8">
            <w:pPr>
              <w:spacing w:after="0" w:line="259" w:lineRule="auto"/>
              <w:ind w:right="0" w:firstLine="0"/>
              <w:jc w:val="left"/>
            </w:pPr>
            <w:r w:rsidRPr="00E406FB">
              <w:rPr>
                <w:sz w:val="18"/>
              </w:rPr>
              <w:t xml:space="preserve"> Período de análise da FASE 02. </w:t>
            </w:r>
          </w:p>
          <w:p w14:paraId="0E807818" w14:textId="77777777" w:rsidR="00A86859" w:rsidRPr="00E406FB" w:rsidRDefault="00A86859" w:rsidP="00377FF8">
            <w:pPr>
              <w:spacing w:after="0" w:line="259" w:lineRule="auto"/>
              <w:ind w:right="0" w:firstLine="0"/>
              <w:jc w:val="left"/>
            </w:pPr>
            <w:r w:rsidRPr="00E406FB">
              <w:rPr>
                <w:sz w:val="18"/>
              </w:rPr>
              <w:t xml:space="preserve"> Reuniões para verificação das Propostas/Planos de Trabalho pela Comissão de Seleção. </w:t>
            </w:r>
          </w:p>
        </w:tc>
      </w:tr>
      <w:tr w:rsidR="00A86859" w:rsidRPr="00E406FB" w14:paraId="59C73766" w14:textId="77777777" w:rsidTr="00377FF8">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1E7EE6AF" w14:textId="77777777" w:rsidR="00A86859" w:rsidRPr="00E406FB" w:rsidRDefault="00A86859" w:rsidP="00377FF8">
            <w:pPr>
              <w:tabs>
                <w:tab w:val="center" w:pos="791"/>
              </w:tabs>
              <w:spacing w:after="0" w:line="259" w:lineRule="auto"/>
              <w:ind w:right="0" w:firstLine="0"/>
              <w:jc w:val="left"/>
            </w:pPr>
            <w:r w:rsidRPr="00E406FB">
              <w:rPr>
                <w:sz w:val="18"/>
              </w:rPr>
              <w:t xml:space="preserve">27 </w:t>
            </w:r>
            <w:r w:rsidRPr="00E406FB">
              <w:rPr>
                <w:sz w:val="18"/>
              </w:rPr>
              <w:tab/>
              <w:t>/11/2023 (</w:t>
            </w:r>
            <w:proofErr w:type="spellStart"/>
            <w:r w:rsidRPr="00E406FB">
              <w:rPr>
                <w:sz w:val="18"/>
              </w:rPr>
              <w:t>seg</w:t>
            </w:r>
            <w:proofErr w:type="spellEnd"/>
            <w:r w:rsidRPr="00E406FB">
              <w:rPr>
                <w:sz w:val="18"/>
              </w:rPr>
              <w:t xml:space="preserve">) </w:t>
            </w:r>
          </w:p>
        </w:tc>
        <w:tc>
          <w:tcPr>
            <w:tcW w:w="7374" w:type="dxa"/>
            <w:tcBorders>
              <w:top w:val="single" w:sz="6" w:space="0" w:color="D9D9D9"/>
              <w:left w:val="single" w:sz="6" w:space="0" w:color="D9D9D9"/>
              <w:bottom w:val="single" w:sz="6" w:space="0" w:color="D9D9D9"/>
              <w:right w:val="single" w:sz="6" w:space="0" w:color="D9D9D9"/>
            </w:tcBorders>
            <w:vAlign w:val="center"/>
          </w:tcPr>
          <w:p w14:paraId="0564888A" w14:textId="77777777" w:rsidR="00A86859" w:rsidRPr="00E406FB" w:rsidRDefault="00A86859" w:rsidP="00377FF8">
            <w:pPr>
              <w:spacing w:after="0" w:line="259" w:lineRule="auto"/>
              <w:ind w:right="0" w:firstLine="0"/>
              <w:jc w:val="left"/>
            </w:pPr>
            <w:r w:rsidRPr="00E406FB">
              <w:rPr>
                <w:b/>
                <w:sz w:val="18"/>
              </w:rPr>
              <w:t xml:space="preserve"> Divulgação do Resultado Preliminar da FASE 02. </w:t>
            </w:r>
          </w:p>
          <w:p w14:paraId="7CD6DC1D" w14:textId="77777777" w:rsidR="00A86859" w:rsidRPr="00E406FB" w:rsidRDefault="00A86859" w:rsidP="00377FF8">
            <w:pPr>
              <w:spacing w:after="0" w:line="259" w:lineRule="auto"/>
              <w:ind w:right="0" w:firstLine="0"/>
              <w:jc w:val="left"/>
            </w:pPr>
            <w:r w:rsidRPr="00E406FB">
              <w:rPr>
                <w:sz w:val="18"/>
              </w:rPr>
              <w:t xml:space="preserve"> Prazo para publicação da "Análise de Documentos e Parecer Parcial - FASE 02". </w:t>
            </w:r>
          </w:p>
        </w:tc>
      </w:tr>
      <w:tr w:rsidR="00A86859" w:rsidRPr="00E406FB" w14:paraId="364DB627" w14:textId="77777777" w:rsidTr="00377FF8">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4AA52F6D" w14:textId="77777777" w:rsidR="00A86859" w:rsidRPr="00E406FB" w:rsidRDefault="00A86859" w:rsidP="00377FF8">
            <w:pPr>
              <w:tabs>
                <w:tab w:val="center" w:pos="825"/>
              </w:tabs>
              <w:spacing w:after="30" w:line="259" w:lineRule="auto"/>
              <w:ind w:right="0" w:firstLine="0"/>
              <w:jc w:val="left"/>
            </w:pPr>
            <w:r w:rsidRPr="00E406FB">
              <w:rPr>
                <w:sz w:val="18"/>
              </w:rPr>
              <w:t xml:space="preserve">28/11/2023 (ter) a </w:t>
            </w:r>
          </w:p>
          <w:p w14:paraId="3E194D9A" w14:textId="77777777" w:rsidR="00A86859" w:rsidRPr="00E406FB" w:rsidRDefault="00A86859" w:rsidP="00377FF8">
            <w:pPr>
              <w:tabs>
                <w:tab w:val="center" w:pos="785"/>
              </w:tabs>
              <w:spacing w:after="0" w:line="259" w:lineRule="auto"/>
              <w:ind w:right="0" w:firstLine="0"/>
              <w:jc w:val="left"/>
            </w:pPr>
            <w:r w:rsidRPr="00E406FB">
              <w:rPr>
                <w:sz w:val="18"/>
              </w:rPr>
              <w:t xml:space="preserve">01/12/2023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6BC2E116" w14:textId="77777777" w:rsidR="00A86859" w:rsidRPr="00E406FB" w:rsidRDefault="00A86859" w:rsidP="00377FF8">
            <w:pPr>
              <w:spacing w:after="0" w:line="259" w:lineRule="auto"/>
              <w:ind w:right="0" w:firstLine="0"/>
              <w:jc w:val="left"/>
            </w:pPr>
            <w:r w:rsidRPr="00E406FB">
              <w:rPr>
                <w:sz w:val="18"/>
              </w:rPr>
              <w:t xml:space="preserve"> Período de solicitação e análise de recursos da FASE 02. </w:t>
            </w:r>
          </w:p>
          <w:p w14:paraId="2E420886" w14:textId="77777777" w:rsidR="00A86859" w:rsidRPr="00E406FB" w:rsidRDefault="00A86859" w:rsidP="00377FF8">
            <w:pPr>
              <w:spacing w:after="0" w:line="259" w:lineRule="auto"/>
              <w:ind w:right="0" w:firstLine="0"/>
              <w:jc w:val="left"/>
            </w:pPr>
            <w:r w:rsidRPr="00E406FB">
              <w:rPr>
                <w:i/>
                <w:color w:val="999999"/>
                <w:sz w:val="18"/>
              </w:rPr>
              <w:t xml:space="preserve"> Deverá ser protocolado via e-mail, endereçado à gerenciageral@caupb.gov.br. </w:t>
            </w:r>
          </w:p>
        </w:tc>
      </w:tr>
      <w:tr w:rsidR="00A86859" w:rsidRPr="00E406FB" w14:paraId="3021FC9B" w14:textId="77777777" w:rsidTr="00377FF8">
        <w:trPr>
          <w:trHeight w:val="644"/>
        </w:trPr>
        <w:tc>
          <w:tcPr>
            <w:tcW w:w="2218" w:type="dxa"/>
            <w:tcBorders>
              <w:top w:val="single" w:sz="6" w:space="0" w:color="D9D9D9"/>
              <w:left w:val="single" w:sz="6" w:space="0" w:color="D9D9D9"/>
              <w:bottom w:val="single" w:sz="6" w:space="0" w:color="D9D9D9"/>
              <w:right w:val="single" w:sz="6" w:space="0" w:color="D9D9D9"/>
            </w:tcBorders>
            <w:vAlign w:val="center"/>
          </w:tcPr>
          <w:p w14:paraId="5E51B5DB" w14:textId="77777777" w:rsidR="00A86859" w:rsidRPr="00E406FB" w:rsidRDefault="00A86859" w:rsidP="00377FF8">
            <w:pPr>
              <w:tabs>
                <w:tab w:val="center" w:pos="818"/>
              </w:tabs>
              <w:spacing w:after="0" w:line="259" w:lineRule="auto"/>
              <w:ind w:right="0" w:firstLine="0"/>
              <w:jc w:val="left"/>
            </w:pPr>
            <w:r w:rsidRPr="00E406FB">
              <w:rPr>
                <w:b/>
                <w:sz w:val="18"/>
              </w:rPr>
              <w:t>08</w:t>
            </w:r>
            <w:r w:rsidRPr="00E406FB">
              <w:rPr>
                <w:b/>
                <w:sz w:val="18"/>
              </w:rPr>
              <w:tab/>
              <w:t xml:space="preserve">/12/2023 (sex) </w:t>
            </w:r>
          </w:p>
        </w:tc>
        <w:tc>
          <w:tcPr>
            <w:tcW w:w="7374" w:type="dxa"/>
            <w:tcBorders>
              <w:top w:val="single" w:sz="6" w:space="0" w:color="D9D9D9"/>
              <w:left w:val="single" w:sz="6" w:space="0" w:color="D9D9D9"/>
              <w:bottom w:val="single" w:sz="6" w:space="0" w:color="D9D9D9"/>
              <w:right w:val="single" w:sz="6" w:space="0" w:color="D9D9D9"/>
            </w:tcBorders>
            <w:vAlign w:val="center"/>
          </w:tcPr>
          <w:p w14:paraId="7FBA7B88" w14:textId="77777777" w:rsidR="00A86859" w:rsidRPr="00E406FB" w:rsidRDefault="00A86859" w:rsidP="00377FF8">
            <w:pPr>
              <w:spacing w:after="0" w:line="259" w:lineRule="auto"/>
              <w:ind w:right="2235" w:firstLine="0"/>
              <w:jc w:val="left"/>
            </w:pPr>
            <w:r w:rsidRPr="00E406FB">
              <w:rPr>
                <w:b/>
                <w:sz w:val="18"/>
              </w:rPr>
              <w:t xml:space="preserve"> DIVULGAÇÃO DO RESULTADO FINAL DA FASE 02. </w:t>
            </w:r>
            <w:r w:rsidRPr="00E406FB">
              <w:rPr>
                <w:sz w:val="18"/>
              </w:rPr>
              <w:t xml:space="preserve"> Publicação do Parecer Conclusivo - FASE 02. </w:t>
            </w:r>
          </w:p>
        </w:tc>
      </w:tr>
      <w:tr w:rsidR="00A86859" w:rsidRPr="00E406FB" w14:paraId="38920289" w14:textId="77777777" w:rsidTr="00377FF8">
        <w:trPr>
          <w:trHeight w:val="734"/>
        </w:trPr>
        <w:tc>
          <w:tcPr>
            <w:tcW w:w="2218" w:type="dxa"/>
            <w:tcBorders>
              <w:top w:val="single" w:sz="6" w:space="0" w:color="D9D9D9"/>
              <w:left w:val="single" w:sz="6" w:space="0" w:color="D9D9D9"/>
              <w:bottom w:val="single" w:sz="6" w:space="0" w:color="D9D9D9"/>
              <w:right w:val="single" w:sz="6" w:space="0" w:color="D9D9D9"/>
            </w:tcBorders>
            <w:vAlign w:val="center"/>
          </w:tcPr>
          <w:p w14:paraId="22E484E0" w14:textId="77777777" w:rsidR="00A86859" w:rsidRPr="00E406FB" w:rsidRDefault="00A86859" w:rsidP="00377FF8">
            <w:pPr>
              <w:spacing w:after="30" w:line="259" w:lineRule="auto"/>
              <w:ind w:right="0"/>
              <w:jc w:val="left"/>
            </w:pPr>
            <w:r w:rsidRPr="00E406FB">
              <w:rPr>
                <w:sz w:val="18"/>
              </w:rPr>
              <w:t>11/12/2023 (</w:t>
            </w:r>
            <w:proofErr w:type="spellStart"/>
            <w:r w:rsidRPr="00E406FB">
              <w:rPr>
                <w:sz w:val="18"/>
              </w:rPr>
              <w:t>seg</w:t>
            </w:r>
            <w:proofErr w:type="spellEnd"/>
            <w:r w:rsidRPr="00E406FB">
              <w:rPr>
                <w:sz w:val="18"/>
              </w:rPr>
              <w:t xml:space="preserve">) a </w:t>
            </w:r>
          </w:p>
          <w:p w14:paraId="33CA528D" w14:textId="77777777" w:rsidR="00A86859" w:rsidRPr="00E406FB" w:rsidRDefault="00A86859" w:rsidP="00377FF8">
            <w:pPr>
              <w:spacing w:after="0" w:line="259" w:lineRule="auto"/>
              <w:ind w:right="0"/>
              <w:jc w:val="left"/>
            </w:pPr>
            <w:r w:rsidRPr="00E406FB">
              <w:rPr>
                <w:sz w:val="18"/>
              </w:rPr>
              <w:t xml:space="preserve">12/12/2023 (ter) </w:t>
            </w:r>
          </w:p>
        </w:tc>
        <w:tc>
          <w:tcPr>
            <w:tcW w:w="7374" w:type="dxa"/>
            <w:tcBorders>
              <w:top w:val="single" w:sz="6" w:space="0" w:color="D9D9D9"/>
              <w:left w:val="single" w:sz="6" w:space="0" w:color="D9D9D9"/>
              <w:bottom w:val="single" w:sz="6" w:space="0" w:color="D9D9D9"/>
              <w:right w:val="single" w:sz="6" w:space="0" w:color="D9D9D9"/>
            </w:tcBorders>
            <w:vAlign w:val="center"/>
          </w:tcPr>
          <w:p w14:paraId="73CDC881" w14:textId="77777777" w:rsidR="00A86859" w:rsidRPr="00E406FB" w:rsidRDefault="00A86859" w:rsidP="00377FF8">
            <w:pPr>
              <w:spacing w:after="0" w:line="259" w:lineRule="auto"/>
              <w:ind w:right="0" w:firstLine="0"/>
              <w:jc w:val="left"/>
            </w:pPr>
            <w:r w:rsidRPr="00E406FB">
              <w:rPr>
                <w:sz w:val="18"/>
              </w:rPr>
              <w:t xml:space="preserve"> Período de contratação. </w:t>
            </w:r>
          </w:p>
        </w:tc>
      </w:tr>
      <w:tr w:rsidR="00A86859" w14:paraId="508253BC" w14:textId="77777777" w:rsidTr="00377FF8">
        <w:trPr>
          <w:trHeight w:val="480"/>
        </w:trPr>
        <w:tc>
          <w:tcPr>
            <w:tcW w:w="2218" w:type="dxa"/>
            <w:tcBorders>
              <w:top w:val="single" w:sz="6" w:space="0" w:color="D9D9D9"/>
              <w:left w:val="single" w:sz="6" w:space="0" w:color="D9D9D9"/>
              <w:bottom w:val="single" w:sz="6" w:space="0" w:color="D9D9D9"/>
              <w:right w:val="single" w:sz="6" w:space="0" w:color="D9D9D9"/>
            </w:tcBorders>
            <w:vAlign w:val="center"/>
          </w:tcPr>
          <w:p w14:paraId="54781D68" w14:textId="77777777" w:rsidR="00A86859" w:rsidRPr="00E406FB" w:rsidRDefault="00A86859" w:rsidP="00377FF8">
            <w:pPr>
              <w:spacing w:after="0" w:line="259" w:lineRule="auto"/>
              <w:ind w:right="0" w:firstLine="0"/>
              <w:jc w:val="left"/>
            </w:pPr>
            <w:r w:rsidRPr="00E406FB">
              <w:rPr>
                <w:sz w:val="18"/>
              </w:rPr>
              <w:t xml:space="preserve"> Até 30/04/2024 (ter) </w:t>
            </w:r>
          </w:p>
        </w:tc>
        <w:tc>
          <w:tcPr>
            <w:tcW w:w="7374" w:type="dxa"/>
            <w:tcBorders>
              <w:top w:val="single" w:sz="6" w:space="0" w:color="D9D9D9"/>
              <w:left w:val="single" w:sz="6" w:space="0" w:color="D9D9D9"/>
              <w:bottom w:val="single" w:sz="6" w:space="0" w:color="D9D9D9"/>
              <w:right w:val="single" w:sz="6" w:space="0" w:color="D9D9D9"/>
            </w:tcBorders>
            <w:vAlign w:val="center"/>
          </w:tcPr>
          <w:p w14:paraId="1F0CFE3E" w14:textId="77777777" w:rsidR="00A86859" w:rsidRDefault="00A86859" w:rsidP="00377FF8">
            <w:pPr>
              <w:spacing w:after="0" w:line="259" w:lineRule="auto"/>
              <w:ind w:right="0" w:firstLine="0"/>
              <w:jc w:val="left"/>
            </w:pPr>
            <w:r w:rsidRPr="00E406FB">
              <w:rPr>
                <w:sz w:val="18"/>
              </w:rPr>
              <w:t xml:space="preserve"> Prazo final para execução do projeto patrocinado.</w:t>
            </w:r>
            <w:r>
              <w:rPr>
                <w:sz w:val="18"/>
              </w:rPr>
              <w:t xml:space="preserve"> </w:t>
            </w:r>
          </w:p>
        </w:tc>
      </w:tr>
    </w:tbl>
    <w:p w14:paraId="24D4A0DD" w14:textId="77777777" w:rsidR="000115BC" w:rsidRPr="000115BC" w:rsidRDefault="000115BC" w:rsidP="000115BC"/>
    <w:p w14:paraId="3EB9FF6A" w14:textId="77777777" w:rsidR="00D83294" w:rsidRDefault="004A6355" w:rsidP="007A7A07">
      <w:pPr>
        <w:pStyle w:val="Ttulo2"/>
        <w:tabs>
          <w:tab w:val="center" w:pos="2880"/>
        </w:tabs>
        <w:ind w:left="0" w:firstLine="0"/>
      </w:pPr>
      <w:r>
        <w:t xml:space="preserve"> 1. </w:t>
      </w:r>
      <w:r>
        <w:tab/>
        <w:t xml:space="preserve"> DA IMPUGNAÇÃO DO ATO CONVOCATÓRIO </w:t>
      </w:r>
    </w:p>
    <w:p w14:paraId="00886798" w14:textId="77777777" w:rsidR="00D83294" w:rsidRDefault="004A6355" w:rsidP="007A7A07">
      <w:pPr>
        <w:ind w:left="1439" w:right="2" w:hanging="708"/>
      </w:pPr>
      <w:r>
        <w:t xml:space="preserve"> 1.1.  Qualquer  pessoa  poderá  impugnar  o  presente  Edital,  bem  como  solicitar  esclarecimentos  decorrentes  de  dúvidas  em  sua  interpretação, observada   a  data-limite  definida  no Cronograma  deste   Edital,  exclusivamente  de  forma  eletrônica, pelo   e-mail </w:t>
      </w:r>
      <w:r>
        <w:rPr>
          <w:b/>
        </w:rPr>
        <w:t xml:space="preserve"> </w:t>
      </w:r>
      <w:r w:rsidR="00D23B38">
        <w:rPr>
          <w:b/>
        </w:rPr>
        <w:t>gerencia</w:t>
      </w:r>
      <w:r>
        <w:rPr>
          <w:b/>
        </w:rPr>
        <w:t>geral@caupb.gov.br</w:t>
      </w:r>
      <w:r>
        <w:t xml:space="preserve">.   A  resposta às   impugnações  caberá  ao  Presidente  do CAU/PB,   e  as  respostas  aos questionamentos  serão   emitidas  pelo  gestor  designado  pelo  CAU/PB.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14:paraId="0BFADCC8" w14:textId="77777777" w:rsidR="00D83294" w:rsidRDefault="004A6355" w:rsidP="007A7A07">
      <w:pPr>
        <w:spacing w:after="372"/>
        <w:ind w:left="1439" w:right="2" w:hanging="708"/>
      </w:pPr>
      <w:r>
        <w:t xml:space="preserve"> 1.2.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 </w:t>
      </w:r>
    </w:p>
    <w:p w14:paraId="31F49EBA" w14:textId="77777777" w:rsidR="00D83294" w:rsidRDefault="004A6355" w:rsidP="007A7A07">
      <w:pPr>
        <w:pStyle w:val="Ttulo2"/>
        <w:tabs>
          <w:tab w:val="center" w:pos="2457"/>
        </w:tabs>
        <w:ind w:left="0" w:firstLine="0"/>
      </w:pPr>
      <w:r>
        <w:lastRenderedPageBreak/>
        <w:t xml:space="preserve"> 2. </w:t>
      </w:r>
      <w:r>
        <w:tab/>
        <w:t xml:space="preserve"> DAS PUBLICAÇÕES E INTIMAÇÕES </w:t>
      </w:r>
    </w:p>
    <w:p w14:paraId="107A2226" w14:textId="77777777" w:rsidR="00D83294" w:rsidRDefault="004A6355" w:rsidP="007A7A07">
      <w:pPr>
        <w:ind w:left="1439" w:right="2" w:hanging="708"/>
      </w:pPr>
      <w:r>
        <w:t xml:space="preserve"> 2.1.  Fica  estabelecido  o  sítio  do  Portal  da  Transparência  do  CAU/PB  (</w:t>
      </w:r>
      <w:hyperlink r:id="rId12">
        <w:r>
          <w:rPr>
            <w:color w:val="1155CC"/>
            <w:u w:val="single" w:color="1155CC"/>
          </w:rPr>
          <w:t xml:space="preserve"> </w:t>
        </w:r>
      </w:hyperlink>
      <w:hyperlink r:id="rId13">
        <w:r>
          <w:rPr>
            <w:color w:val="1155CC"/>
            <w:u w:val="single" w:color="1155CC"/>
          </w:rPr>
          <w:t>www.caupb.gov.br</w:t>
        </w:r>
      </w:hyperlink>
      <w:hyperlink r:id="rId14">
        <w:r>
          <w:t xml:space="preserve"> )</w:t>
        </w:r>
      </w:hyperlink>
      <w:r>
        <w:t xml:space="preserve">,  para  a  divulgação  de  quaisquer  informações  sobre  o  presente  Chamamento  Público,  sem  prejuízo  da  utilização  de  outros  veículos  de  comunicação,  oficiais  ou  não,  de  que  o CAU/PB venha a dispor. Cabe ao Proponente o acompanhamento das publicações. </w:t>
      </w:r>
    </w:p>
    <w:p w14:paraId="387CBC19" w14:textId="77777777" w:rsidR="00D83294" w:rsidRDefault="004A6355" w:rsidP="007A7A07">
      <w:pPr>
        <w:pStyle w:val="Ttulo2"/>
        <w:tabs>
          <w:tab w:val="center" w:pos="1307"/>
        </w:tabs>
        <w:ind w:left="0" w:firstLine="0"/>
      </w:pPr>
      <w:r>
        <w:t xml:space="preserve"> 3. </w:t>
      </w:r>
      <w:r>
        <w:tab/>
        <w:t xml:space="preserve"> DO OBJETO </w:t>
      </w:r>
    </w:p>
    <w:p w14:paraId="2448D454" w14:textId="77777777" w:rsidR="00D83294" w:rsidRDefault="004A6355" w:rsidP="007A7A07">
      <w:pPr>
        <w:spacing w:after="149" w:line="253" w:lineRule="auto"/>
        <w:ind w:left="1439" w:right="0" w:hanging="708"/>
      </w:pPr>
      <w:r>
        <w:t xml:space="preserve"> 3.1.  O  presente  Edital  de  Chamamento  Público  tem  como  objetivo  a  convocação  de </w:t>
      </w:r>
      <w:r>
        <w:rPr>
          <w:b/>
        </w:rPr>
        <w:t xml:space="preserve"> 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de  ações  em  ATHIS,  em  continuidade  ou  em  fase  de  finalização, </w:t>
      </w:r>
      <w:r>
        <w:t xml:space="preserve"> que  apresentem  ações  relevantes para essa área, a serem selecionadas para receber FOMENTO do CAU/PB </w:t>
      </w:r>
    </w:p>
    <w:p w14:paraId="19065004" w14:textId="77777777" w:rsidR="00D83294" w:rsidRDefault="004A6355" w:rsidP="007A7A07">
      <w:pPr>
        <w:tabs>
          <w:tab w:val="center" w:pos="1537"/>
          <w:tab w:val="right" w:pos="9645"/>
        </w:tabs>
        <w:spacing w:after="10" w:line="259" w:lineRule="auto"/>
        <w:ind w:left="1418" w:right="0" w:firstLine="0"/>
      </w:pPr>
      <w:r>
        <w:tab/>
        <w:t xml:space="preserve">3.1.1. </w:t>
      </w:r>
      <w:r w:rsidR="00BF2BA5">
        <w:t xml:space="preserve"> </w:t>
      </w:r>
      <w:r>
        <w:t xml:space="preserve">Entende-se  por </w:t>
      </w:r>
      <w:r>
        <w:rPr>
          <w:b/>
        </w:rPr>
        <w:t xml:space="preserve"> PROJETO  DE  CONTINUIDADE </w:t>
      </w:r>
      <w:r>
        <w:t xml:space="preserve"> um  projeto  que  esteja  sendo</w:t>
      </w:r>
      <w:r w:rsidR="00BF2BA5">
        <w:t xml:space="preserve"> </w:t>
      </w:r>
      <w:r>
        <w:t xml:space="preserve"> executado,  ou  que  foi  paralisado,  e  que  necessite  de  recursos  para  dar</w:t>
      </w:r>
      <w:r w:rsidR="00BF2BA5">
        <w:t xml:space="preserve"> </w:t>
      </w:r>
      <w:r>
        <w:t xml:space="preserve">prosseguimento às atividades propostas; </w:t>
      </w:r>
    </w:p>
    <w:p w14:paraId="22387775" w14:textId="77777777" w:rsidR="00D83294" w:rsidRDefault="004A6355" w:rsidP="007A7A07">
      <w:pPr>
        <w:spacing w:after="359"/>
        <w:ind w:left="1418" w:right="2" w:hanging="142"/>
      </w:pPr>
      <w:r>
        <w:t xml:space="preserve"> 3.1.2.  Entende-se  por </w:t>
      </w:r>
      <w:r>
        <w:rPr>
          <w:b/>
        </w:rPr>
        <w:t xml:space="preserve"> PROJETO  EM  FASE  DE  FINALIZAÇÃO </w:t>
      </w:r>
      <w:r w:rsidR="00BF2BA5">
        <w:t xml:space="preserve"> um  projeto  em  etapa  final </w:t>
      </w:r>
      <w:r>
        <w:t>de execução, que necessite d</w:t>
      </w:r>
      <w:r w:rsidR="00BF2BA5">
        <w:t>e recursos para a sua conclusão</w:t>
      </w:r>
      <w:r>
        <w:rPr>
          <w:sz w:val="24"/>
        </w:rPr>
        <w:t xml:space="preserve">. </w:t>
      </w:r>
    </w:p>
    <w:p w14:paraId="6B4B7A59" w14:textId="77777777" w:rsidR="00D83294" w:rsidRDefault="004A6355" w:rsidP="007A7A07">
      <w:pPr>
        <w:pStyle w:val="Ttulo2"/>
        <w:tabs>
          <w:tab w:val="center" w:pos="1665"/>
        </w:tabs>
        <w:ind w:left="0" w:firstLine="0"/>
      </w:pPr>
      <w:r>
        <w:t xml:space="preserve"> 4. </w:t>
      </w:r>
      <w:r>
        <w:tab/>
        <w:t xml:space="preserve"> DA JUSTIFICATIVA </w:t>
      </w:r>
    </w:p>
    <w:p w14:paraId="49A1A709" w14:textId="77777777" w:rsidR="00D83294" w:rsidRDefault="004A6355" w:rsidP="007A7A07">
      <w:pPr>
        <w:spacing w:after="0"/>
        <w:ind w:left="719" w:right="2"/>
      </w:pPr>
      <w:r>
        <w:t xml:space="preserve"> Para  cumprir  sua  Missão  Institucional  de  promover  a  Arquitetura  e  Urbanismo  para  todos,  o </w:t>
      </w:r>
    </w:p>
    <w:p w14:paraId="5991E41A" w14:textId="77777777" w:rsidR="00D83294" w:rsidRDefault="004A6355" w:rsidP="007A7A07">
      <w:pPr>
        <w:ind w:left="719" w:right="2"/>
      </w:pPr>
      <w:r>
        <w:t xml:space="preserve"> CAU/PB  distribui  suas  ações  dentro  de  um  Mapa  Estratégico  composto  por  diversos  Objetivos  Estratégicos.  A  concessão  de  Fomento  pelo CAU/PB   para  ações  em  ATHIS  enquadra-se dentro dos objetivos estratégicos: </w:t>
      </w:r>
    </w:p>
    <w:p w14:paraId="4CE89F7F" w14:textId="77777777" w:rsidR="00D83294" w:rsidRDefault="004A6355" w:rsidP="007A7A07">
      <w:pPr>
        <w:spacing w:after="374" w:line="268" w:lineRule="auto"/>
        <w:ind w:left="1434" w:right="-3" w:hanging="10"/>
      </w:pPr>
      <w:r>
        <w:rPr>
          <w:i/>
        </w:rPr>
        <w:t xml:space="preserve"> “Promover e   estimular  a  percepção  da  sociedade  sobre  a Arquitetura   e  Urbanismo  como  uma ferramenta   de  desenvolvimento  e  transformação  social, e  as(os)  profissionais  da   Arquitetura  e  Urbanismo  como  agentes promotores  de  qualidade   de  vida da população”; e “Fomentar o acesso da sociedade à Arquitetura e Urbanismo” . </w:t>
      </w:r>
    </w:p>
    <w:p w14:paraId="133BB41D" w14:textId="77777777" w:rsidR="00D83294" w:rsidRDefault="004A6355" w:rsidP="007A7A07">
      <w:pPr>
        <w:pStyle w:val="Ttulo2"/>
        <w:tabs>
          <w:tab w:val="center" w:pos="3830"/>
        </w:tabs>
        <w:ind w:left="0" w:firstLine="0"/>
      </w:pPr>
      <w:r>
        <w:t xml:space="preserve"> 5. </w:t>
      </w:r>
      <w:r>
        <w:tab/>
        <w:t xml:space="preserve"> DA CONCESSÃO E UTILIZAÇÃO DOS RECURSOS FINANCEIROS </w:t>
      </w:r>
    </w:p>
    <w:p w14:paraId="7479825E" w14:textId="77777777" w:rsidR="00D83294" w:rsidRDefault="004A6355" w:rsidP="007A7A07">
      <w:pPr>
        <w:ind w:left="1439" w:right="2" w:hanging="708"/>
      </w:pPr>
      <w:r>
        <w:t xml:space="preserve"> 5.1.  O  pagamento  atinente  ao  fomento  ocorrerá  na  forma  aporte  financeiro  antecipado  à  realização das ações descritas no Plano de Trabalho. </w:t>
      </w:r>
    </w:p>
    <w:p w14:paraId="748B3513" w14:textId="77777777" w:rsidR="00D83294" w:rsidRDefault="004A6355" w:rsidP="007A7A07">
      <w:pPr>
        <w:ind w:left="1439" w:right="2" w:hanging="708"/>
      </w:pPr>
      <w:r>
        <w:t xml:space="preserve"> 5.2. A   organização  da  sociedade  civil  deverá  reservar  uma  </w:t>
      </w:r>
      <w:r w:rsidRPr="00F51480">
        <w:rPr>
          <w:b/>
        </w:rPr>
        <w:t>conta  específica  em banco   público</w:t>
      </w:r>
      <w:r>
        <w:t xml:space="preserve"> para o fomento aprovado, a fim de facilitar a prestação de contas ao final. </w:t>
      </w:r>
    </w:p>
    <w:p w14:paraId="1B800D85" w14:textId="77777777" w:rsidR="00D83294" w:rsidRDefault="004A6355" w:rsidP="007A7A07">
      <w:pPr>
        <w:ind w:left="1439" w:right="2" w:hanging="708"/>
      </w:pPr>
      <w:r>
        <w:lastRenderedPageBreak/>
        <w:t xml:space="preserve"> 5.3.  Os  recursos  financeiros não podem  ser  destinados  à  aquisição  de  bens  ou  materiais  de  uso permanente ou reformas em instalações. </w:t>
      </w:r>
    </w:p>
    <w:p w14:paraId="1A936549" w14:textId="77777777" w:rsidR="00D83294" w:rsidRDefault="004A6355" w:rsidP="007A7A07">
      <w:pPr>
        <w:ind w:left="1439" w:right="2" w:hanging="708"/>
      </w:pPr>
      <w:r>
        <w:t xml:space="preserve"> 5.4.  A inadimplência  do   CAU/PB  não transfere   à organização  da   sociedade civil   a  responsabilidade  pelo pagamento  de  obrigações   vinculadas  à  parceria  com  recursos  próprios. </w:t>
      </w:r>
    </w:p>
    <w:p w14:paraId="23A15D50" w14:textId="77777777" w:rsidR="00D83294" w:rsidRDefault="004A6355" w:rsidP="007A7A07">
      <w:pPr>
        <w:ind w:left="1439" w:right="2" w:hanging="708"/>
      </w:pPr>
      <w:r>
        <w:t xml:space="preserve">5.5.  A   concessão  de  recursos  pelo  CAU/PB  considerará  as  propostas  que  atenderem  ao  escopo deste Edital e que forem aprovadas pela Comissão de Seleção. </w:t>
      </w:r>
    </w:p>
    <w:p w14:paraId="00859DF5" w14:textId="77777777" w:rsidR="00D83294" w:rsidRDefault="004A6355" w:rsidP="007A7A07">
      <w:pPr>
        <w:spacing w:after="371" w:line="271" w:lineRule="auto"/>
        <w:ind w:left="2158" w:right="-10" w:hanging="882"/>
      </w:pPr>
      <w:r>
        <w:t xml:space="preserve"> 5.5.1. </w:t>
      </w:r>
      <w:r>
        <w:tab/>
        <w:t xml:space="preserve"> Não  há  impedimento  para  o  CAU/PB  selecionar  as  organizações  de  sociedade  civil  cuja  prestação  de  contas  de  processos  anteriores  ainda  não  tenha transitado em julgado. </w:t>
      </w:r>
    </w:p>
    <w:p w14:paraId="210975F4" w14:textId="77777777" w:rsidR="00D83294" w:rsidRDefault="004A6355" w:rsidP="007A7A07">
      <w:pPr>
        <w:pStyle w:val="Ttulo2"/>
        <w:tabs>
          <w:tab w:val="center" w:pos="3112"/>
        </w:tabs>
        <w:ind w:left="0" w:firstLine="0"/>
      </w:pPr>
      <w:r>
        <w:t xml:space="preserve"> 6. </w:t>
      </w:r>
      <w:r>
        <w:tab/>
        <w:t xml:space="preserve"> DA PARTICIPAÇÃO NO CHAMAMENTO PÚBLICO </w:t>
      </w:r>
    </w:p>
    <w:p w14:paraId="02FEE318" w14:textId="77777777" w:rsidR="00D83294" w:rsidRDefault="008C5D0D" w:rsidP="007A7A07">
      <w:pPr>
        <w:tabs>
          <w:tab w:val="right" w:pos="9645"/>
        </w:tabs>
        <w:spacing w:after="0"/>
        <w:ind w:left="851" w:right="0" w:firstLine="0"/>
      </w:pPr>
      <w:r>
        <w:t xml:space="preserve">6.1. </w:t>
      </w:r>
      <w:r w:rsidR="004A6355">
        <w:t xml:space="preserve"> Poderão  participar  deste  Edital  as  organizações da   sociedade  civil ( OSC),  assim</w:t>
      </w:r>
      <w:r>
        <w:t xml:space="preserve">  </w:t>
      </w:r>
      <w:r w:rsidR="004A6355">
        <w:t xml:space="preserve">consideradas  aquelas  definidas  pelo  art. 2 º,  inciso  I,  alínea  “a”,  da  Lei  n.º 13.019 ,  de 2014 ( com  redação dada pela Lei n.º 13.204, de 14 de dezembro de 2015): </w:t>
      </w:r>
    </w:p>
    <w:p w14:paraId="075AB958" w14:textId="77777777" w:rsidR="00D83294" w:rsidRDefault="004A6355" w:rsidP="007A7A07">
      <w:pPr>
        <w:spacing w:after="120" w:line="268" w:lineRule="auto"/>
        <w:ind w:left="2168" w:right="-3" w:hanging="10"/>
      </w:pPr>
      <w:r>
        <w:rPr>
          <w:i/>
        </w:rPr>
        <w:t xml:space="preserve">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 </w:t>
      </w:r>
    </w:p>
    <w:p w14:paraId="3E8527D8" w14:textId="77777777" w:rsidR="00D83294" w:rsidRDefault="004A6355" w:rsidP="007A7A07">
      <w:pPr>
        <w:spacing w:after="134" w:line="253" w:lineRule="auto"/>
        <w:ind w:left="1439" w:right="0" w:hanging="708"/>
      </w:pPr>
      <w:r>
        <w:t xml:space="preserve">6.2.   Aplica-se, contudo,   a  este  Edital  o  enquadramento  de  organização  da  sociedade  civil </w:t>
      </w:r>
      <w:r>
        <w:rPr>
          <w:b/>
        </w:rPr>
        <w:t>Pessoas   Jurídicas  Representativas  de Arquitetos   e  Urbanistas  ou de   outras  categorias  profissionais,  movimentos  sociais  e/ou  coletivos  populares  da  sociedade  civil  organizada,  com  sede  e  atividade  no Estado   da  Paraíba,  sem  fins  lucrativos,  que  contribuam  para  promover  a produção   e  a  difusão  de  ações  em  ATHIS,  estimular  o  desenvolvimento  e  a  consolidação  do  exercício  profissional,  bem  como consolidar   a  imagem  dos  Conselhos  de  Arquitetura e   Urbanismo  e  o  seu  compromisso com o fortalecimento da Arquitetura e Urbanismo</w:t>
      </w:r>
      <w:r>
        <w:t xml:space="preserve">.  </w:t>
      </w:r>
    </w:p>
    <w:p w14:paraId="15566B82" w14:textId="77777777" w:rsidR="00D83294" w:rsidRDefault="004A6355" w:rsidP="007A7A07">
      <w:pPr>
        <w:ind w:left="1439" w:right="2" w:hanging="708"/>
      </w:pPr>
      <w:r>
        <w:t xml:space="preserve"> 6.3.  Ficará  impedida  de  celebrar esta   modalidade  de  parceria,  a  organização  da  sociedade civil   que  contenha  em  seus  quadros, pessoas  com   vínculo,  direto  ou  indireto,  com  o  CAU/PB,  estendendo-se  a vedação,   aos  respectivos  cônjuges  ou companheiros,   bem  como parentes em linha reta, colateral ou por afinidade, até o segundo grau; </w:t>
      </w:r>
    </w:p>
    <w:p w14:paraId="2F67053D" w14:textId="77777777" w:rsidR="00D83294" w:rsidRDefault="004A6355" w:rsidP="007A7A07">
      <w:pPr>
        <w:spacing w:after="370"/>
        <w:ind w:left="1439" w:right="2" w:hanging="708"/>
      </w:pPr>
      <w:r>
        <w:t xml:space="preserve"> 6.4.  Cada organização  da  sociedade   civil  poderá  enviar  tantas  propostas quantas   quiser. No  entanto, cada pessoa jurídica terá, no máximo, 04 (quatro) propostas aprovadas. </w:t>
      </w:r>
      <w:r>
        <w:tab/>
        <w:t xml:space="preserve"> </w:t>
      </w:r>
    </w:p>
    <w:p w14:paraId="1E40B2AE" w14:textId="77777777" w:rsidR="00D83294" w:rsidRDefault="004A6355" w:rsidP="007A7A07">
      <w:pPr>
        <w:pStyle w:val="Ttulo2"/>
        <w:tabs>
          <w:tab w:val="center" w:pos="2354"/>
        </w:tabs>
        <w:ind w:left="0" w:firstLine="0"/>
      </w:pPr>
      <w:r>
        <w:lastRenderedPageBreak/>
        <w:t xml:space="preserve"> 7. </w:t>
      </w:r>
      <w:r>
        <w:tab/>
        <w:t xml:space="preserve"> DA CONCESSÃO DE PATROCÍNIO </w:t>
      </w:r>
    </w:p>
    <w:p w14:paraId="3313758F" w14:textId="77777777" w:rsidR="008C5D0D" w:rsidRDefault="004A6355" w:rsidP="007A7A07">
      <w:pPr>
        <w:spacing w:after="0" w:line="483" w:lineRule="auto"/>
        <w:ind w:left="719" w:right="236"/>
      </w:pPr>
      <w:r>
        <w:t xml:space="preserve"> 7.1. </w:t>
      </w:r>
      <w:r>
        <w:tab/>
        <w:t xml:space="preserve"> A concessão de FOMENTO pelo CAU/PB deve observar as seguintes orientações: </w:t>
      </w:r>
    </w:p>
    <w:p w14:paraId="0C91B935" w14:textId="77777777" w:rsidR="00D83294" w:rsidRDefault="004A6355" w:rsidP="007A7A07">
      <w:pPr>
        <w:spacing w:after="0" w:line="483" w:lineRule="auto"/>
        <w:ind w:left="719" w:right="236"/>
      </w:pPr>
      <w:r>
        <w:rPr>
          <w:b/>
          <w:u w:val="single" w:color="000000"/>
        </w:rPr>
        <w:t xml:space="preserve"> I. Poderão ser patrocinados os projetos:</w:t>
      </w:r>
      <w:r>
        <w:rPr>
          <w:b/>
        </w:rPr>
        <w:t xml:space="preserve"> </w:t>
      </w:r>
    </w:p>
    <w:p w14:paraId="4D7AD9F4" w14:textId="77777777" w:rsidR="00D83294" w:rsidRDefault="004A6355" w:rsidP="007A7A07">
      <w:pPr>
        <w:numPr>
          <w:ilvl w:val="0"/>
          <w:numId w:val="1"/>
        </w:numPr>
        <w:ind w:right="2"/>
      </w:pPr>
      <w:r>
        <w:t xml:space="preserve">Que  tenham  relevância  para  o  desenvolvimento  da  ATHIS  no  âmbito  da  Arquitetura  e  Urbanismo  na  Paraíba,  para  a  organização  dos  profissionais  e  para  o  aperfeiçoamento do exercício profissional dos Arquitetos e Urbanistas. </w:t>
      </w:r>
    </w:p>
    <w:p w14:paraId="7D084C37" w14:textId="77777777" w:rsidR="00D83294" w:rsidRDefault="004A6355" w:rsidP="007A7A07">
      <w:pPr>
        <w:numPr>
          <w:ilvl w:val="0"/>
          <w:numId w:val="1"/>
        </w:numPr>
        <w:ind w:right="2"/>
      </w:pPr>
      <w:r>
        <w:t xml:space="preserve">Que  proponham  ações,  em  âmbito  regional  ou  local,  que  disseminem  informações  e  promovam  o  conhecimento  e  o  fortalecimento  da  Arquitetura  e  do  Urbanismo  no  âmbito  da  ATHIS,  sendo  considerados  projetos  regionais  aqueles  que  envolvam,  no  mínimo, três municípios </w:t>
      </w:r>
      <w:r>
        <w:rPr>
          <w:sz w:val="24"/>
        </w:rPr>
        <w:t xml:space="preserve"> . </w:t>
      </w:r>
    </w:p>
    <w:p w14:paraId="4260CD5F" w14:textId="77777777" w:rsidR="00D83294" w:rsidRDefault="004A6355" w:rsidP="007A7A07">
      <w:pPr>
        <w:numPr>
          <w:ilvl w:val="0"/>
          <w:numId w:val="1"/>
        </w:numPr>
        <w:ind w:right="2"/>
      </w:pPr>
      <w:r>
        <w:t xml:space="preserve">Que contemplem a realização de ações nos seguintes  eixos: </w:t>
      </w:r>
    </w:p>
    <w:p w14:paraId="16B384DD" w14:textId="77777777" w:rsidR="00D83294" w:rsidRDefault="004A6355" w:rsidP="007A7A07">
      <w:pPr>
        <w:numPr>
          <w:ilvl w:val="1"/>
          <w:numId w:val="1"/>
        </w:numPr>
        <w:ind w:right="2"/>
      </w:pPr>
      <w:r>
        <w:rPr>
          <w:b/>
        </w:rPr>
        <w:t>Ações  de  Ensino  e  Formação</w:t>
      </w:r>
      <w:r>
        <w:t xml:space="preserve">:   ações  educativas  como  ciclo  de  palestras,  oficinas,  cursos,  conferências,  seminários,  congressos  e  atividades  afins;  intervenções  urbanas  que  visem  a  execução  de  projetos  de  intervenção  física  em  locais  públicos,  abertos  e/ou  fechados,  tais  como  praças,  parques  ou  ruas  e melhorias habitacionais (REURB). </w:t>
      </w:r>
    </w:p>
    <w:p w14:paraId="7FFCD378" w14:textId="77777777" w:rsidR="00D83294" w:rsidRDefault="004A6355" w:rsidP="007A7A07">
      <w:pPr>
        <w:numPr>
          <w:ilvl w:val="1"/>
          <w:numId w:val="1"/>
        </w:numPr>
        <w:ind w:right="2"/>
      </w:pPr>
      <w:r>
        <w:rPr>
          <w:b/>
        </w:rPr>
        <w:t>Publicações  e  Produções  Audiovisuais</w:t>
      </w:r>
      <w:r>
        <w:t xml:space="preserve">:   livros,  cartilhas,  material  didático,  vídeos  institucionais,  documentários  e  outras  produções  cujos  conteúdos  disseminem  informações,  experiências  práticas  realizadas  e  promovam  o  conhecimento  e  o  fortalecimento  da  Arquitetura  e  do  Urbanismo  no  âmbito  da  Assistência Técnica em Habitação de Interesse Social. </w:t>
      </w:r>
    </w:p>
    <w:p w14:paraId="2149A3D9" w14:textId="77777777" w:rsidR="00D83294" w:rsidRDefault="004A6355" w:rsidP="007A7A07">
      <w:pPr>
        <w:numPr>
          <w:ilvl w:val="0"/>
          <w:numId w:val="1"/>
        </w:numPr>
        <w:ind w:right="2"/>
      </w:pPr>
      <w:r>
        <w:t xml:space="preserve">Que contemplem, pelo menos, um dos seguintes objetivos: </w:t>
      </w:r>
    </w:p>
    <w:p w14:paraId="211F7C0C" w14:textId="77777777" w:rsidR="00D83294" w:rsidRDefault="004A6355" w:rsidP="007A7A07">
      <w:pPr>
        <w:numPr>
          <w:ilvl w:val="1"/>
          <w:numId w:val="1"/>
        </w:numPr>
        <w:ind w:right="2"/>
      </w:pPr>
      <w:r>
        <w:t xml:space="preserve">Promovam  a  produção  de  conhecimento  que  oriente  o  exercício  profissional  e o seu  aperfeiçoamento, prioritariamente; </w:t>
      </w:r>
    </w:p>
    <w:p w14:paraId="4FE6A563" w14:textId="77777777" w:rsidR="00D83294" w:rsidRDefault="004A6355" w:rsidP="007A7A07">
      <w:pPr>
        <w:numPr>
          <w:ilvl w:val="1"/>
          <w:numId w:val="1"/>
        </w:numPr>
        <w:spacing w:after="60" w:line="322" w:lineRule="auto"/>
        <w:ind w:right="2"/>
      </w:pPr>
      <w:r>
        <w:t xml:space="preserve">Potencializem a conquista e ampliação do campo  de atuação profissional; </w:t>
      </w:r>
      <w:r>
        <w:rPr>
          <w:b/>
        </w:rPr>
        <w:t xml:space="preserve"> </w:t>
      </w:r>
      <w:proofErr w:type="spellStart"/>
      <w:r>
        <w:rPr>
          <w:b/>
        </w:rPr>
        <w:t>iii</w:t>
      </w:r>
      <w:proofErr w:type="spellEnd"/>
      <w:r>
        <w:rPr>
          <w:b/>
        </w:rPr>
        <w:t xml:space="preserve">. </w:t>
      </w:r>
      <w:r>
        <w:t xml:space="preserve"> Promovam  a  produção  e  a  disseminação  de  material  técnico/profissional  de interesse da Arquitetura e Urbanismo; </w:t>
      </w:r>
    </w:p>
    <w:p w14:paraId="5E639650" w14:textId="77777777" w:rsidR="00D83294" w:rsidRDefault="004A6355" w:rsidP="007A7A07">
      <w:pPr>
        <w:numPr>
          <w:ilvl w:val="1"/>
          <w:numId w:val="2"/>
        </w:numPr>
        <w:spacing w:after="0"/>
        <w:ind w:right="2"/>
      </w:pPr>
      <w:r>
        <w:t xml:space="preserve">Promovam  a  articulação  e  fortalecimento  das  entidades  de  Arquitetura  e  Urbanismo na Paraíba; </w:t>
      </w:r>
    </w:p>
    <w:p w14:paraId="2D8A629D" w14:textId="77777777" w:rsidR="008C5D0D" w:rsidRPr="008C5D0D" w:rsidRDefault="004A6355" w:rsidP="007A7A07">
      <w:pPr>
        <w:numPr>
          <w:ilvl w:val="1"/>
          <w:numId w:val="2"/>
        </w:numPr>
        <w:spacing w:after="231"/>
        <w:ind w:right="2"/>
      </w:pPr>
      <w:r>
        <w:t xml:space="preserve">Ampliem a visibilidade institucional e fortaleçam  a imagem do CAU/PB; e </w:t>
      </w:r>
      <w:r>
        <w:rPr>
          <w:b/>
        </w:rPr>
        <w:t xml:space="preserve"> </w:t>
      </w:r>
    </w:p>
    <w:p w14:paraId="30F5FBED" w14:textId="77777777" w:rsidR="00D83294" w:rsidRDefault="004A6355" w:rsidP="007A7A07">
      <w:pPr>
        <w:numPr>
          <w:ilvl w:val="1"/>
          <w:numId w:val="2"/>
        </w:numPr>
        <w:spacing w:after="231"/>
        <w:ind w:right="2"/>
      </w:pPr>
      <w:r>
        <w:t xml:space="preserve"> Sensibilizem,  informem,  eduquem  e  difundam  conhecimentos  e/ou  troca  de  experiências  com  vista  ao  desenvolvimento,  modernização  e  fortalecimento da  Arquitetura e Urbanismo. </w:t>
      </w:r>
    </w:p>
    <w:p w14:paraId="67CE733C" w14:textId="77777777" w:rsidR="00D83294" w:rsidRDefault="004A6355" w:rsidP="007A7A07">
      <w:pPr>
        <w:numPr>
          <w:ilvl w:val="0"/>
          <w:numId w:val="3"/>
        </w:numPr>
        <w:spacing w:after="246" w:line="264" w:lineRule="auto"/>
        <w:ind w:right="0" w:hanging="247"/>
      </w:pPr>
      <w:r>
        <w:rPr>
          <w:b/>
          <w:u w:val="single" w:color="000000"/>
        </w:rPr>
        <w:lastRenderedPageBreak/>
        <w:t>Não serão patrocinadas as propostas:</w:t>
      </w:r>
      <w:r>
        <w:rPr>
          <w:b/>
        </w:rPr>
        <w:t xml:space="preserve"> </w:t>
      </w:r>
    </w:p>
    <w:p w14:paraId="7627B137" w14:textId="77777777" w:rsidR="00D83294" w:rsidRDefault="004A6355" w:rsidP="007A7A07">
      <w:pPr>
        <w:numPr>
          <w:ilvl w:val="1"/>
          <w:numId w:val="3"/>
        </w:numPr>
        <w:ind w:right="2"/>
      </w:pPr>
      <w:r>
        <w:t xml:space="preserve">Com pontuação inferior a 6,0 (seis); </w:t>
      </w:r>
    </w:p>
    <w:p w14:paraId="6BC684D0" w14:textId="77777777" w:rsidR="00D83294" w:rsidRDefault="004A6355" w:rsidP="007A7A07">
      <w:pPr>
        <w:numPr>
          <w:ilvl w:val="1"/>
          <w:numId w:val="3"/>
        </w:numPr>
        <w:ind w:right="2"/>
      </w:pPr>
      <w:r>
        <w:t xml:space="preserve">Em desacordo com a missão institucional e finalidade  do CAU/PB; </w:t>
      </w:r>
    </w:p>
    <w:p w14:paraId="39E206E4" w14:textId="77777777" w:rsidR="00D83294" w:rsidRDefault="004A6355" w:rsidP="007A7A07">
      <w:pPr>
        <w:numPr>
          <w:ilvl w:val="1"/>
          <w:numId w:val="3"/>
        </w:numPr>
        <w:spacing w:after="0"/>
        <w:ind w:right="2"/>
      </w:pPr>
      <w:r>
        <w:t>Que  não  evidenciam  benefícios  para  o  desenvolvimento  da  Arquitetura  e</w:t>
      </w:r>
      <w:r w:rsidR="008C5D0D">
        <w:t xml:space="preserve"> </w:t>
      </w:r>
    </w:p>
    <w:p w14:paraId="2F2F1EE3" w14:textId="77777777" w:rsidR="00D83294" w:rsidRDefault="004A6355" w:rsidP="007A7A07">
      <w:pPr>
        <w:ind w:left="1439" w:right="2"/>
      </w:pPr>
      <w:r>
        <w:t xml:space="preserve"> Urbanismo na Paraíba; </w:t>
      </w:r>
    </w:p>
    <w:p w14:paraId="3DC0BDEF" w14:textId="77777777" w:rsidR="00D83294" w:rsidRDefault="004A6355" w:rsidP="007A7A07">
      <w:pPr>
        <w:numPr>
          <w:ilvl w:val="1"/>
          <w:numId w:val="3"/>
        </w:numPr>
        <w:spacing w:after="15"/>
        <w:ind w:right="0" w:firstLine="0"/>
      </w:pPr>
      <w:r>
        <w:t xml:space="preserve">Cujas  organizações  da  sociedade  civil  estejam  enquadradas  no  art.  39  da  Lei  nº </w:t>
      </w:r>
      <w:r w:rsidR="008C5D0D">
        <w:t xml:space="preserve"> </w:t>
      </w:r>
      <w:r>
        <w:t>13.019/20</w:t>
      </w:r>
      <w:r w:rsidR="008C5D0D">
        <w:t>14</w:t>
      </w:r>
      <w:r>
        <w:t xml:space="preserve">; </w:t>
      </w:r>
    </w:p>
    <w:p w14:paraId="26436101" w14:textId="77777777" w:rsidR="00D83294" w:rsidRDefault="004A6355" w:rsidP="007A7A07">
      <w:pPr>
        <w:numPr>
          <w:ilvl w:val="1"/>
          <w:numId w:val="3"/>
        </w:numPr>
        <w:ind w:right="2"/>
      </w:pPr>
      <w:r>
        <w:t xml:space="preserve">Cujo  proponente  tenha  prestação  de  contas  de  fomento  em  aberto  em  exercício  que  não seja o imediatamente anterior; </w:t>
      </w:r>
    </w:p>
    <w:p w14:paraId="01ED1B6A" w14:textId="77777777" w:rsidR="00D83294" w:rsidRDefault="004A6355" w:rsidP="007A7A07">
      <w:pPr>
        <w:numPr>
          <w:ilvl w:val="1"/>
          <w:numId w:val="3"/>
        </w:numPr>
        <w:ind w:right="2"/>
      </w:pPr>
      <w:r>
        <w:t xml:space="preserve">Realizadas, organizadas ou coordenadas pelo CAU/BR ou por outro CAU/UF; e </w:t>
      </w:r>
    </w:p>
    <w:p w14:paraId="00415FE5" w14:textId="77777777" w:rsidR="00D83294" w:rsidRDefault="004A6355" w:rsidP="007A7A07">
      <w:pPr>
        <w:numPr>
          <w:ilvl w:val="1"/>
          <w:numId w:val="3"/>
        </w:numPr>
        <w:ind w:right="2"/>
      </w:pPr>
      <w:r>
        <w:t xml:space="preserve">Em  que  haja  cobrança  de  ingressos  ou  imposição  de  quaisquer  outros  custos  para  arquitetos  e  urbanistas  ou  público  em  geral,  salvo  quando  forem  integralmente  revertidas  ao  projeto  ou  creditadas  ao  CAU/PB,  hipóteses  que  deverão  ser  especificadas  no  termo  de  fomento  e  confirmadas  mediante  a  prestação  de  contas  da  proponente.  A  eventual  previsão  de  cobrança  de  ingressos  deverá  constar  na  Proposta/Plano  de  Trabalho,  não  servindo  de  percentual  de  contrapartida  da  entidade; </w:t>
      </w:r>
    </w:p>
    <w:p w14:paraId="67087203" w14:textId="77777777" w:rsidR="00D83294" w:rsidRDefault="004A6355" w:rsidP="007A7A07">
      <w:pPr>
        <w:numPr>
          <w:ilvl w:val="1"/>
          <w:numId w:val="3"/>
        </w:numPr>
        <w:ind w:right="2"/>
      </w:pPr>
      <w:r>
        <w:t xml:space="preserve">Cuja  organização  da  sociedade  civil  tenha,  em  suas  relações  anteriores  com  o  CAU/PB,  incorrido em algumas das seguintes condutas: </w:t>
      </w:r>
    </w:p>
    <w:p w14:paraId="4A0AD92A" w14:textId="77777777" w:rsidR="00D83294" w:rsidRDefault="004A6355" w:rsidP="007A7A07">
      <w:pPr>
        <w:numPr>
          <w:ilvl w:val="2"/>
          <w:numId w:val="3"/>
        </w:numPr>
        <w:ind w:right="2"/>
      </w:pPr>
      <w:r>
        <w:t xml:space="preserve">Omissão no dever de prestar contas; </w:t>
      </w:r>
    </w:p>
    <w:p w14:paraId="1D3A0869" w14:textId="77777777" w:rsidR="00D83294" w:rsidRDefault="004A6355" w:rsidP="007A7A07">
      <w:pPr>
        <w:numPr>
          <w:ilvl w:val="2"/>
          <w:numId w:val="3"/>
        </w:numPr>
        <w:ind w:right="2"/>
      </w:pPr>
      <w:r>
        <w:t xml:space="preserve">Mesmo  que  tenha  apresentado  as  contas  de  convênios  anteriores  e  que  estas  estejam  pendentes  de  exames,  constataram-se  deficiências  na  execução do objeto ou na própria  prestação de contas; </w:t>
      </w:r>
    </w:p>
    <w:p w14:paraId="56616A0D" w14:textId="77777777" w:rsidR="00D83294" w:rsidRDefault="004A6355" w:rsidP="007A7A07">
      <w:pPr>
        <w:numPr>
          <w:ilvl w:val="2"/>
          <w:numId w:val="3"/>
        </w:numPr>
        <w:ind w:right="2"/>
      </w:pPr>
      <w:r>
        <w:t xml:space="preserve">Tenha  prestação  de  contas  de  fomento  ou  apoio  anterior  não  aprovada,  inconclusa  ou  que  esteja  inadimplente  perante  o  CAU/PB,  qualquer  que  seja  a  motivação; </w:t>
      </w:r>
    </w:p>
    <w:p w14:paraId="722E609E" w14:textId="77777777" w:rsidR="00D83294" w:rsidRDefault="004A6355" w:rsidP="007A7A07">
      <w:pPr>
        <w:numPr>
          <w:ilvl w:val="2"/>
          <w:numId w:val="3"/>
        </w:numPr>
        <w:ind w:right="2"/>
      </w:pPr>
      <w:r>
        <w:t xml:space="preserve">Tenha  prestação  de  contas  de  fomento  e/ou  apoio  institucional  anteriores  reprovadas perante o CAU/PB </w:t>
      </w:r>
    </w:p>
    <w:p w14:paraId="783D7CD0" w14:textId="77777777" w:rsidR="008C5D0D" w:rsidRPr="008C5D0D" w:rsidRDefault="004A6355" w:rsidP="007A7A07">
      <w:pPr>
        <w:numPr>
          <w:ilvl w:val="2"/>
          <w:numId w:val="3"/>
        </w:numPr>
        <w:spacing w:after="118" w:line="376" w:lineRule="auto"/>
        <w:ind w:right="2"/>
      </w:pPr>
      <w:r>
        <w:t xml:space="preserve">Descumprimento injustificado do objeto deste Edital; </w:t>
      </w:r>
      <w:r>
        <w:rPr>
          <w:b/>
        </w:rPr>
        <w:t xml:space="preserve"> </w:t>
      </w:r>
    </w:p>
    <w:p w14:paraId="69EA3BA9" w14:textId="77777777" w:rsidR="008C5D0D" w:rsidRDefault="004A6355" w:rsidP="007A7A07">
      <w:pPr>
        <w:numPr>
          <w:ilvl w:val="2"/>
          <w:numId w:val="3"/>
        </w:numPr>
        <w:spacing w:after="118" w:line="376" w:lineRule="auto"/>
        <w:ind w:right="2"/>
      </w:pPr>
      <w:r>
        <w:t xml:space="preserve">Desvio de finalidade na aplicação dos recursos  transferidos; </w:t>
      </w:r>
    </w:p>
    <w:p w14:paraId="59FFA539" w14:textId="77777777" w:rsidR="004A6355" w:rsidRPr="004A6355" w:rsidRDefault="004A6355" w:rsidP="007A7A07">
      <w:pPr>
        <w:numPr>
          <w:ilvl w:val="2"/>
          <w:numId w:val="3"/>
        </w:numPr>
        <w:spacing w:after="118" w:line="376" w:lineRule="auto"/>
        <w:ind w:right="2"/>
      </w:pPr>
      <w:r>
        <w:t xml:space="preserve">Ocorrência de </w:t>
      </w:r>
      <w:proofErr w:type="spellStart"/>
      <w:r>
        <w:t>dano</w:t>
      </w:r>
      <w:proofErr w:type="spellEnd"/>
      <w:r>
        <w:t xml:space="preserve"> ao erário; e </w:t>
      </w:r>
      <w:r>
        <w:rPr>
          <w:b/>
        </w:rPr>
        <w:t xml:space="preserve"> </w:t>
      </w:r>
    </w:p>
    <w:p w14:paraId="3F726BF3" w14:textId="77777777" w:rsidR="00D83294" w:rsidRDefault="004A6355" w:rsidP="007A7A07">
      <w:pPr>
        <w:numPr>
          <w:ilvl w:val="2"/>
          <w:numId w:val="3"/>
        </w:numPr>
        <w:spacing w:after="118" w:line="376" w:lineRule="auto"/>
        <w:ind w:right="2"/>
      </w:pPr>
      <w:r>
        <w:t xml:space="preserve">Prática de outros atos ilícitos na execução  do objeto deste Edital. </w:t>
      </w:r>
    </w:p>
    <w:p w14:paraId="23A426DD" w14:textId="77777777" w:rsidR="00D83294" w:rsidRDefault="004A6355" w:rsidP="007A7A07">
      <w:pPr>
        <w:numPr>
          <w:ilvl w:val="0"/>
          <w:numId w:val="3"/>
        </w:numPr>
        <w:spacing w:after="378" w:line="264" w:lineRule="auto"/>
        <w:ind w:right="0" w:hanging="247"/>
      </w:pPr>
      <w:r>
        <w:rPr>
          <w:b/>
          <w:u w:val="single" w:color="000000"/>
        </w:rPr>
        <w:lastRenderedPageBreak/>
        <w:t>O  CAU/PB  poderá  recusar  a  concessão  de  FOMENTO  sempre  que,  mesmo</w:t>
      </w:r>
      <w:r>
        <w:rPr>
          <w:b/>
        </w:rPr>
        <w:t xml:space="preserve"> </w:t>
      </w:r>
      <w:r>
        <w:rPr>
          <w:b/>
          <w:u w:val="single" w:color="000000"/>
        </w:rPr>
        <w:t xml:space="preserve"> apresentadas  as  contas  de  convênios  anteriores  e  pendentes  de  exames,  constataram-se</w:t>
      </w:r>
      <w:r>
        <w:rPr>
          <w:b/>
        </w:rPr>
        <w:t xml:space="preserve"> </w:t>
      </w:r>
      <w:r>
        <w:rPr>
          <w:b/>
          <w:u w:val="single" w:color="000000"/>
        </w:rPr>
        <w:t xml:space="preserve"> deficiências na  execução do objeto ou na própria prestação de contas.</w:t>
      </w:r>
      <w:r>
        <w:rPr>
          <w:b/>
        </w:rPr>
        <w:t xml:space="preserve"> </w:t>
      </w:r>
    </w:p>
    <w:p w14:paraId="6B73C11A" w14:textId="77777777" w:rsidR="00D83294" w:rsidRDefault="004A6355" w:rsidP="007A7A07">
      <w:pPr>
        <w:pStyle w:val="Ttulo2"/>
        <w:tabs>
          <w:tab w:val="center" w:pos="2254"/>
        </w:tabs>
        <w:ind w:left="0" w:firstLine="0"/>
      </w:pPr>
      <w:r>
        <w:t xml:space="preserve"> 8. </w:t>
      </w:r>
      <w:r>
        <w:tab/>
        <w:t xml:space="preserve"> DA DOTAÇÃO ORÇAMENTÁRIA </w:t>
      </w:r>
    </w:p>
    <w:p w14:paraId="52C3F3F6" w14:textId="77777777" w:rsidR="00D83294" w:rsidRDefault="004A6355" w:rsidP="007A7A07">
      <w:pPr>
        <w:spacing w:after="372"/>
        <w:ind w:left="1439" w:right="2" w:hanging="708"/>
      </w:pPr>
      <w:r>
        <w:t xml:space="preserve"> 8.1.  As  despesas  decorrentes  estão  previstas  no  Planejamento  Orçamentário  do  CAU/PB  para  o  ano  de  2023,  na  Conta: 6.2.2.1.1.01.07.02.002-Convênios, Acordos e Ajuda a Entidades do Centro de Custo: 4.02.12 - Assistência Técnica em Habitações de Interesse Social - ATHIS - PROJETO </w:t>
      </w:r>
    </w:p>
    <w:p w14:paraId="42730566" w14:textId="77777777" w:rsidR="00D83294" w:rsidRDefault="004A6355" w:rsidP="007A7A07">
      <w:pPr>
        <w:pStyle w:val="Ttulo2"/>
        <w:tabs>
          <w:tab w:val="center" w:pos="2639"/>
        </w:tabs>
        <w:ind w:left="0" w:firstLine="0"/>
      </w:pPr>
      <w:r>
        <w:t xml:space="preserve"> 9. </w:t>
      </w:r>
      <w:r>
        <w:tab/>
        <w:t xml:space="preserve"> DOS VALORES A SEREM REPASSADOS </w:t>
      </w:r>
    </w:p>
    <w:p w14:paraId="51A2FC82" w14:textId="53970E78" w:rsidR="00EF22E5" w:rsidRDefault="004A6355" w:rsidP="007A7A07">
      <w:pPr>
        <w:spacing w:after="0"/>
        <w:ind w:left="1439" w:right="2" w:hanging="708"/>
        <w:rPr>
          <w:color w:val="00B0F0"/>
        </w:rPr>
      </w:pPr>
      <w:r>
        <w:t xml:space="preserve"> 9.1.  O  CAU/PB  disponibilizará  para  este  Edital  de  Chamamento  Público  o  valor  global  </w:t>
      </w:r>
      <w:r w:rsidRPr="00C7235D">
        <w:rPr>
          <w:color w:val="auto"/>
        </w:rPr>
        <w:t xml:space="preserve">de </w:t>
      </w:r>
      <w:r w:rsidRPr="00C7235D">
        <w:rPr>
          <w:b/>
          <w:color w:val="auto"/>
        </w:rPr>
        <w:t xml:space="preserve"> R$  </w:t>
      </w:r>
      <w:r w:rsidR="00EF22E5" w:rsidRPr="00C7235D">
        <w:rPr>
          <w:b/>
          <w:color w:val="auto"/>
        </w:rPr>
        <w:t>100</w:t>
      </w:r>
      <w:r w:rsidRPr="00C7235D">
        <w:rPr>
          <w:b/>
          <w:color w:val="auto"/>
        </w:rPr>
        <w:t>.000,00  (</w:t>
      </w:r>
      <w:r w:rsidR="00EF22E5" w:rsidRPr="00C7235D">
        <w:rPr>
          <w:b/>
          <w:color w:val="auto"/>
        </w:rPr>
        <w:t>cem</w:t>
      </w:r>
      <w:r w:rsidRPr="00C7235D">
        <w:rPr>
          <w:b/>
          <w:color w:val="auto"/>
        </w:rPr>
        <w:t xml:space="preserve">  mil  reais)</w:t>
      </w:r>
      <w:r w:rsidRPr="00C7235D">
        <w:rPr>
          <w:color w:val="auto"/>
        </w:rPr>
        <w:t>,   valor  bruto,  em  cota  única</w:t>
      </w:r>
      <w:r w:rsidR="00EF22E5" w:rsidRPr="00C7235D">
        <w:rPr>
          <w:b/>
          <w:bCs/>
          <w:color w:val="auto"/>
        </w:rPr>
        <w:t>, sobre o qual poderá ser retido impostos</w:t>
      </w:r>
      <w:r w:rsidR="00C7235D">
        <w:rPr>
          <w:b/>
          <w:bCs/>
          <w:color w:val="auto"/>
        </w:rPr>
        <w:t>,</w:t>
      </w:r>
      <w:r w:rsidR="00EF22E5" w:rsidRPr="00C7235D">
        <w:rPr>
          <w:color w:val="auto"/>
        </w:rPr>
        <w:t xml:space="preserve"> </w:t>
      </w:r>
      <w:r w:rsidRPr="00C7235D">
        <w:rPr>
          <w:color w:val="auto"/>
        </w:rPr>
        <w:t xml:space="preserve"> dependendo da natureza jurídica da empresa</w:t>
      </w:r>
      <w:r w:rsidR="00EF22E5" w:rsidRPr="00C7235D">
        <w:rPr>
          <w:color w:val="auto"/>
        </w:rPr>
        <w:t>.</w:t>
      </w:r>
    </w:p>
    <w:p w14:paraId="74BDFAFD" w14:textId="77777777" w:rsidR="00EF22E5" w:rsidRDefault="00EF22E5" w:rsidP="007A7A07">
      <w:pPr>
        <w:spacing w:after="0"/>
        <w:ind w:left="1439" w:right="2" w:hanging="708"/>
      </w:pPr>
    </w:p>
    <w:p w14:paraId="3752AE1A" w14:textId="77777777" w:rsidR="00D83294" w:rsidRPr="00EF22E5" w:rsidRDefault="004A6355" w:rsidP="007A7A07">
      <w:pPr>
        <w:spacing w:after="0"/>
        <w:ind w:left="709" w:right="2" w:hanging="708"/>
        <w:rPr>
          <w:b/>
        </w:rPr>
      </w:pPr>
      <w:r w:rsidRPr="00EF22E5">
        <w:rPr>
          <w:b/>
        </w:rPr>
        <w:t xml:space="preserve">10. </w:t>
      </w:r>
      <w:r w:rsidRPr="00EF22E5">
        <w:rPr>
          <w:b/>
        </w:rPr>
        <w:tab/>
        <w:t xml:space="preserve"> DO PRAZO DE EXECUÇÃO DO OBJETO DA PARCERIA </w:t>
      </w:r>
    </w:p>
    <w:p w14:paraId="79EDEE63" w14:textId="7101F35B" w:rsidR="00D83294" w:rsidRDefault="004A6355" w:rsidP="007A7A07">
      <w:pPr>
        <w:ind w:left="1439" w:right="2" w:hanging="830"/>
      </w:pPr>
      <w:r>
        <w:t xml:space="preserve"> 10.1.  A  execução  do  objeto  iniciará  a  partir  da  assinatura  do </w:t>
      </w:r>
      <w:r>
        <w:rPr>
          <w:b/>
        </w:rPr>
        <w:t xml:space="preserve"> Termo  de  Fomento </w:t>
      </w:r>
      <w:r w:rsidRPr="007A7A07">
        <w:t xml:space="preserve">( ANEXO  </w:t>
      </w:r>
      <w:r w:rsidR="002A0E5A">
        <w:t>II</w:t>
      </w:r>
      <w:r w:rsidRPr="007A7A07">
        <w:t>),</w:t>
      </w:r>
      <w:r>
        <w:t xml:space="preserve">  não  devendo  ultrapassar  a  data  de  30  de  abril  de  202</w:t>
      </w:r>
      <w:r w:rsidR="00A73E1F">
        <w:t>4</w:t>
      </w:r>
      <w:r>
        <w:t xml:space="preserve">,  nos  termos  do </w:t>
      </w:r>
      <w:r>
        <w:rPr>
          <w:b/>
        </w:rPr>
        <w:t xml:space="preserve"> Plano  de  Trabalho </w:t>
      </w:r>
      <w:r>
        <w:t xml:space="preserve"> (ANEXO </w:t>
      </w:r>
      <w:r w:rsidR="007A7A07">
        <w:t>I</w:t>
      </w:r>
      <w:r>
        <w:t xml:space="preserve">)  aprovado  pelo  CAU/PB,  e  alterações  supervenientes  validadas  pelo CAU/PB. </w:t>
      </w:r>
    </w:p>
    <w:p w14:paraId="37DF4F17" w14:textId="593D83CE" w:rsidR="00D83294" w:rsidRDefault="004A6355" w:rsidP="007A7A07">
      <w:pPr>
        <w:spacing w:after="372"/>
        <w:ind w:left="1439" w:right="2" w:hanging="830"/>
      </w:pPr>
      <w:r>
        <w:t xml:space="preserve"> 10.2. É   permitido  à  organização  da sociedade   civil  solicitar  a  alteração  do  prazo de   execução  do  objeto,  desde  que  solicitado  ao  CAU/PB  com,  pelo  menos,  30 ( trinta)  dias  de  antecedência  da  data  limite  apresentada  no  item  anterior.  Contudo,  caberá  ao  Gestor  designado  pelo  Presidente  do  CAU/PB  aprovar  ou  não  o  pedido.  Se  considerado, será providenciado um </w:t>
      </w:r>
      <w:r>
        <w:rPr>
          <w:b/>
        </w:rPr>
        <w:t xml:space="preserve"> Termo Aditivo</w:t>
      </w:r>
      <w:r w:rsidR="007A7A07">
        <w:rPr>
          <w:b/>
        </w:rPr>
        <w:t xml:space="preserve"> ao Termo de Fomento</w:t>
      </w:r>
      <w:r w:rsidRPr="007A7A07">
        <w:t>.</w:t>
      </w:r>
      <w:r>
        <w:t xml:space="preserve"> </w:t>
      </w:r>
    </w:p>
    <w:p w14:paraId="0CE9FA67" w14:textId="77777777" w:rsidR="00D83294" w:rsidRDefault="004A6355" w:rsidP="007A7A07">
      <w:pPr>
        <w:pStyle w:val="Ttulo2"/>
        <w:tabs>
          <w:tab w:val="center" w:pos="2387"/>
        </w:tabs>
        <w:ind w:left="0" w:firstLine="0"/>
      </w:pPr>
      <w:r>
        <w:t xml:space="preserve"> 11. </w:t>
      </w:r>
      <w:r>
        <w:tab/>
        <w:t xml:space="preserve"> DA DOCUMENTAÇÃO REQUERIDA </w:t>
      </w:r>
    </w:p>
    <w:p w14:paraId="0737FB1E" w14:textId="77777777" w:rsidR="004A6355" w:rsidRDefault="004A6355" w:rsidP="007A7A07">
      <w:pPr>
        <w:spacing w:after="0" w:line="376" w:lineRule="auto"/>
        <w:ind w:left="720" w:right="1491" w:hanging="111"/>
        <w:rPr>
          <w:b/>
        </w:rPr>
      </w:pPr>
      <w:r>
        <w:t xml:space="preserve"> 11.1. </w:t>
      </w:r>
      <w:r>
        <w:tab/>
        <w:t xml:space="preserve"> A Proponente deverá apresentar os documentos elencados a seguir: </w:t>
      </w:r>
      <w:r>
        <w:rPr>
          <w:b/>
        </w:rPr>
        <w:t xml:space="preserve"> </w:t>
      </w:r>
    </w:p>
    <w:p w14:paraId="09A95C22" w14:textId="77777777" w:rsidR="00D83294" w:rsidRDefault="004A6355" w:rsidP="007A7A07">
      <w:pPr>
        <w:spacing w:after="0" w:line="376" w:lineRule="auto"/>
        <w:ind w:left="720" w:right="1491" w:hanging="111"/>
      </w:pPr>
      <w:r>
        <w:rPr>
          <w:b/>
        </w:rPr>
        <w:t xml:space="preserve">I. </w:t>
      </w:r>
      <w:r>
        <w:rPr>
          <w:b/>
          <w:u w:val="single" w:color="000000"/>
        </w:rPr>
        <w:t xml:space="preserve"> Plano de Trabalho</w:t>
      </w:r>
      <w:r>
        <w:rPr>
          <w:b/>
        </w:rPr>
        <w:t xml:space="preserve"> : </w:t>
      </w:r>
    </w:p>
    <w:p w14:paraId="41403A9A" w14:textId="7040EEB4" w:rsidR="00D83294" w:rsidRDefault="004A6355" w:rsidP="007A7A07">
      <w:pPr>
        <w:numPr>
          <w:ilvl w:val="0"/>
          <w:numId w:val="4"/>
        </w:numPr>
        <w:ind w:right="2"/>
      </w:pPr>
      <w:r>
        <w:t xml:space="preserve">O </w:t>
      </w:r>
      <w:r>
        <w:rPr>
          <w:b/>
        </w:rPr>
        <w:t xml:space="preserve"> Plano  de  Trabalho</w:t>
      </w:r>
      <w:r w:rsidR="00267D80">
        <w:rPr>
          <w:b/>
        </w:rPr>
        <w:t>, que não poderá ser identificado,</w:t>
      </w:r>
      <w:r>
        <w:rPr>
          <w:b/>
        </w:rPr>
        <w:t xml:space="preserve"> </w:t>
      </w:r>
      <w:r>
        <w:t xml:space="preserve"> deverá  ser  elaborado  em  língua  portuguesa,  digitado  ou  datilografado,  sem  emendas,  rasuras  ou  entrelinhas,  assinado  na  última  folha  e  apresentado  na  forma  do  </w:t>
      </w:r>
      <w:r w:rsidRPr="007A7A07">
        <w:t xml:space="preserve">ANEXO </w:t>
      </w:r>
      <w:r w:rsidR="00267D80" w:rsidRPr="007A7A07">
        <w:t>I</w:t>
      </w:r>
      <w:r>
        <w:t xml:space="preserve">,  anexa  a  este  edital,  onde  deverão  ser  preenchidas  todas as  informações solicitadas, devendo conter ainda: </w:t>
      </w:r>
    </w:p>
    <w:p w14:paraId="5814ECE7" w14:textId="77777777" w:rsidR="00D83294" w:rsidRDefault="004A6355" w:rsidP="007A7A07">
      <w:pPr>
        <w:numPr>
          <w:ilvl w:val="1"/>
          <w:numId w:val="4"/>
        </w:numPr>
        <w:ind w:right="2"/>
      </w:pPr>
      <w:r>
        <w:lastRenderedPageBreak/>
        <w:t xml:space="preserve">Descrição  da  realidade  que  será  objeto  da  parceria,  devendo  ser  demonstrado  o  nexo  entre  essa  realidade  e  as  atividades  ou  propostas  e  metas a serem atingidas; </w:t>
      </w:r>
    </w:p>
    <w:p w14:paraId="35D13448" w14:textId="77777777" w:rsidR="00D83294" w:rsidRDefault="004A6355" w:rsidP="007A7A07">
      <w:pPr>
        <w:numPr>
          <w:ilvl w:val="1"/>
          <w:numId w:val="4"/>
        </w:numPr>
        <w:ind w:right="2"/>
      </w:pPr>
      <w:r>
        <w:t xml:space="preserve">Descrição  de  metas  a  serem  atingidas  e  de  atividades  ou  propostas  a  serem executadas; </w:t>
      </w:r>
    </w:p>
    <w:p w14:paraId="35CF8A3E" w14:textId="77777777" w:rsidR="00D83294" w:rsidRDefault="004A6355" w:rsidP="007A7A07">
      <w:pPr>
        <w:numPr>
          <w:ilvl w:val="1"/>
          <w:numId w:val="4"/>
        </w:numPr>
        <w:ind w:right="2"/>
      </w:pPr>
      <w:r>
        <w:t xml:space="preserve">Previsão  de  receitas  necessárias  à  obtenção  do  bem  ou  serviço  a  ser  apoiado,  justificadamente; </w:t>
      </w:r>
    </w:p>
    <w:p w14:paraId="75F74F6D" w14:textId="77777777" w:rsidR="00D83294" w:rsidRDefault="004A6355" w:rsidP="007A7A07">
      <w:pPr>
        <w:numPr>
          <w:ilvl w:val="1"/>
          <w:numId w:val="4"/>
        </w:numPr>
        <w:ind w:right="2"/>
      </w:pPr>
      <w:r>
        <w:t xml:space="preserve">Definição  da  forma  de  execução  das  atividades ou  das  propostas  e  de  cumprimento das  metas a eles atreladas; </w:t>
      </w:r>
    </w:p>
    <w:p w14:paraId="2BAEFFCF" w14:textId="77777777" w:rsidR="00D83294" w:rsidRDefault="004A6355" w:rsidP="007A7A07">
      <w:pPr>
        <w:numPr>
          <w:ilvl w:val="1"/>
          <w:numId w:val="4"/>
        </w:numPr>
        <w:ind w:right="2"/>
      </w:pPr>
      <w:r>
        <w:t xml:space="preserve">Definição  dos  parâmetros/indicadores  a  serem  utilizados  para  a  aferição  do  cumprimento  das metas; </w:t>
      </w:r>
    </w:p>
    <w:p w14:paraId="739881BC" w14:textId="77777777" w:rsidR="00D83294" w:rsidRDefault="004A6355" w:rsidP="007A7A07">
      <w:pPr>
        <w:numPr>
          <w:ilvl w:val="1"/>
          <w:numId w:val="4"/>
        </w:numPr>
        <w:ind w:right="2"/>
      </w:pPr>
      <w:r>
        <w:t xml:space="preserve">Estimativa  de  custos,  indicação  dos  valores  a  serem  repassados  pelo  CAU/PB  mediante  cronograma  de  desembolso,  que  pode  se  realizar  por  etapa única ou não; e </w:t>
      </w:r>
    </w:p>
    <w:p w14:paraId="3CB60BD3" w14:textId="77777777" w:rsidR="00D83294" w:rsidRDefault="004A6355" w:rsidP="007A7A07">
      <w:pPr>
        <w:numPr>
          <w:ilvl w:val="1"/>
          <w:numId w:val="4"/>
        </w:numPr>
        <w:ind w:right="2"/>
      </w:pPr>
      <w:r>
        <w:t xml:space="preserve">Definição  das  ações  que  demandam  pagamento  em  espécie,  quando  for  o  caso, na  forma do artigo 38, do Decreto n.º 8.726/2016. </w:t>
      </w:r>
    </w:p>
    <w:p w14:paraId="2EF06150" w14:textId="77777777" w:rsidR="00D83294" w:rsidRDefault="004A6355" w:rsidP="007A7A07">
      <w:pPr>
        <w:numPr>
          <w:ilvl w:val="0"/>
          <w:numId w:val="4"/>
        </w:numPr>
        <w:ind w:right="2"/>
      </w:pPr>
      <w:r>
        <w:t xml:space="preserve">Somente  será  aprovado  o </w:t>
      </w:r>
      <w:r>
        <w:rPr>
          <w:b/>
        </w:rPr>
        <w:t xml:space="preserve"> Plano  de  Trabalho </w:t>
      </w:r>
      <w:r>
        <w:t xml:space="preserve"> que  estiver  de  acordo  com  as  informações  já  apresentadas  na  proposta,  observados  os  termos  e  as  condições  constantes no Edital. </w:t>
      </w:r>
    </w:p>
    <w:p w14:paraId="56D214BA" w14:textId="63849982" w:rsidR="00D83294" w:rsidRDefault="004A6355" w:rsidP="007A7A07">
      <w:pPr>
        <w:numPr>
          <w:ilvl w:val="0"/>
          <w:numId w:val="4"/>
        </w:numPr>
        <w:ind w:right="2"/>
      </w:pPr>
      <w:r>
        <w:t>Na  hipótese  de  a  organização  da  sociedade  civil  não  atender  aos  requisitos  de  Habilitação  ou  Regularidade  necessários  para  a  consagração</w:t>
      </w:r>
      <w:r w:rsidR="00267D80">
        <w:t xml:space="preserve"> no momento da assinatura</w:t>
      </w:r>
      <w:r>
        <w:t xml:space="preserve">  do </w:t>
      </w:r>
      <w:r>
        <w:rPr>
          <w:b/>
        </w:rPr>
        <w:t xml:space="preserve"> Termo  de  Fomento </w:t>
      </w:r>
      <w:r>
        <w:t xml:space="preserve"> </w:t>
      </w:r>
      <w:r w:rsidR="00FB0ECE">
        <w:t>(ANEXO II)</w:t>
      </w:r>
      <w:r w:rsidRPr="00353EE1">
        <w:t>,</w:t>
      </w:r>
      <w:r>
        <w:t xml:space="preserve">  </w:t>
      </w:r>
      <w:r w:rsidR="00267D80">
        <w:t xml:space="preserve">o Corpo Administrativo do CAU/PB </w:t>
      </w:r>
      <w:r>
        <w:t xml:space="preserve">examinará  os  documentos  da  organização  imediatamente  mais  bem  classificada,  que  poderá  ser  convidada  a  aceitar  a  celebração  do </w:t>
      </w:r>
      <w:r>
        <w:rPr>
          <w:b/>
        </w:rPr>
        <w:t xml:space="preserve"> Termo  de  Fomento</w:t>
      </w:r>
      <w:r>
        <w:t xml:space="preserve">,   nos  termos  do </w:t>
      </w:r>
      <w:r>
        <w:rPr>
          <w:b/>
        </w:rPr>
        <w:t xml:space="preserve"> Plano  de  Trabalho </w:t>
      </w:r>
      <w:r>
        <w:t xml:space="preserve"> por  ela  proposto. </w:t>
      </w:r>
    </w:p>
    <w:p w14:paraId="5471F52B" w14:textId="77777777" w:rsidR="00D83294" w:rsidRDefault="00267D80" w:rsidP="007A7A07">
      <w:pPr>
        <w:ind w:left="1439" w:right="2"/>
      </w:pPr>
      <w:r>
        <w:rPr>
          <w:b/>
        </w:rPr>
        <w:t xml:space="preserve"> d</w:t>
      </w:r>
      <w:r w:rsidR="004A6355">
        <w:rPr>
          <w:b/>
        </w:rPr>
        <w:t xml:space="preserve">) </w:t>
      </w:r>
      <w:r w:rsidR="004A6355">
        <w:t xml:space="preserve"> O  procedimento  previsto  no  ite</w:t>
      </w:r>
      <w:r>
        <w:t>m  “c</w:t>
      </w:r>
      <w:r w:rsidR="004A6355">
        <w:t xml:space="preserve">”  poderá  ser  realizado  sucessivamente  até  que  se  consagre a assinatura do </w:t>
      </w:r>
      <w:r w:rsidR="004A6355">
        <w:rPr>
          <w:b/>
        </w:rPr>
        <w:t xml:space="preserve"> Termo de Fomento</w:t>
      </w:r>
      <w:r w:rsidR="004A6355">
        <w:t xml:space="preserve">.  </w:t>
      </w:r>
    </w:p>
    <w:p w14:paraId="32D7450B" w14:textId="77777777" w:rsidR="00D83294" w:rsidRDefault="004A6355" w:rsidP="007A7A07">
      <w:pPr>
        <w:numPr>
          <w:ilvl w:val="0"/>
          <w:numId w:val="5"/>
        </w:numPr>
        <w:spacing w:after="126" w:line="264" w:lineRule="auto"/>
        <w:ind w:right="0" w:hanging="311"/>
      </w:pPr>
      <w:r>
        <w:rPr>
          <w:b/>
          <w:u w:val="single" w:color="000000"/>
        </w:rPr>
        <w:t>Habilitação Jurídica</w:t>
      </w:r>
      <w:r>
        <w:rPr>
          <w:b/>
        </w:rPr>
        <w:t xml:space="preserve"> : </w:t>
      </w:r>
    </w:p>
    <w:p w14:paraId="07808959" w14:textId="77777777" w:rsidR="00D83294" w:rsidRDefault="004A6355" w:rsidP="007A7A07">
      <w:pPr>
        <w:numPr>
          <w:ilvl w:val="2"/>
          <w:numId w:val="8"/>
        </w:numPr>
        <w:ind w:right="2"/>
      </w:pPr>
      <w:r>
        <w:t xml:space="preserve">Ata  de  eleição  e/ou  ato  de  designação  das  pessoas  habilitadas  a  representar  a  pessoa  jurídica; </w:t>
      </w:r>
    </w:p>
    <w:p w14:paraId="6921C058" w14:textId="77777777" w:rsidR="00D83294" w:rsidRDefault="004A6355" w:rsidP="007A7A07">
      <w:pPr>
        <w:numPr>
          <w:ilvl w:val="2"/>
          <w:numId w:val="8"/>
        </w:numPr>
        <w:ind w:right="2"/>
      </w:pPr>
      <w:r>
        <w:t xml:space="preserve">Ato  constitutivo,  contrato  social  ou  estatuto  social  com  as  alterações,  se  houver,  devidamente  registrados  nos  órgãos  competentes,  em  conformidade  com  o  artigo  33  da Lei nº  13.019/2014, contendo: </w:t>
      </w:r>
    </w:p>
    <w:p w14:paraId="4EDCE5D5" w14:textId="77777777" w:rsidR="00D83294" w:rsidRDefault="004A6355" w:rsidP="007A7A07">
      <w:pPr>
        <w:numPr>
          <w:ilvl w:val="3"/>
          <w:numId w:val="7"/>
        </w:numPr>
        <w:ind w:right="2"/>
      </w:pPr>
      <w:r>
        <w:t xml:space="preserve">Objetivos  voltados  à  promoção  de  atividades  e  finalidades  de  relevância  pública e social; </w:t>
      </w:r>
    </w:p>
    <w:p w14:paraId="0B69EB82" w14:textId="77777777" w:rsidR="00D83294" w:rsidRDefault="004A6355" w:rsidP="007A7A07">
      <w:pPr>
        <w:numPr>
          <w:ilvl w:val="3"/>
          <w:numId w:val="7"/>
        </w:numPr>
        <w:ind w:right="2"/>
      </w:pPr>
      <w:r>
        <w:lastRenderedPageBreak/>
        <w:t xml:space="preserve">Que,  em  caso  de  dissolução  da  Proponente,  o  respectivo  patrimônio  líquido  seja  transferido  a  outra  entidade  de  igual  natureza,  que  preencha  os  requisitos  da  Lei  n.º  13.019/2014,  e  cujo  objeto  social  seja,  preferencialmente, o mesmo da entidade  extinta; e </w:t>
      </w:r>
    </w:p>
    <w:p w14:paraId="797C8682" w14:textId="77777777" w:rsidR="00D83294" w:rsidRDefault="004A6355" w:rsidP="007A7A07">
      <w:pPr>
        <w:numPr>
          <w:ilvl w:val="3"/>
          <w:numId w:val="7"/>
        </w:numPr>
        <w:ind w:right="2"/>
      </w:pPr>
      <w:r>
        <w:t xml:space="preserve">Escrituração  de  acordo  com  os  princípios  fundamentais  de  contabilidade  e  com as  Normas Brasileiras de Contabilidade. </w:t>
      </w:r>
    </w:p>
    <w:p w14:paraId="3941107A" w14:textId="77777777" w:rsidR="00D83294" w:rsidRDefault="004A6355" w:rsidP="007A7A07">
      <w:pPr>
        <w:numPr>
          <w:ilvl w:val="3"/>
          <w:numId w:val="9"/>
        </w:numPr>
        <w:ind w:right="2"/>
      </w:pPr>
      <w:r>
        <w:t xml:space="preserve">Comprovante  de  inscrição  no  Cadastro  Nacional  da  Pessoa  Jurídica  –  CNPJ,  emitido  no  sítio  eletrônico  oficial  da  Secretaria  da  Receita  Federal  do  Brasil,  para  demonstrar  que  a  Proponente  existe  há,  no  mínimo,  01  (um)  ano,  no  caso  de  ter  jurisdição municipal, e 02 (dois) anos, no caso  de ter jurisdição estadual; </w:t>
      </w:r>
    </w:p>
    <w:p w14:paraId="1021FDDA" w14:textId="77777777" w:rsidR="00D83294" w:rsidRDefault="004A6355" w:rsidP="007A7A07">
      <w:pPr>
        <w:numPr>
          <w:ilvl w:val="3"/>
          <w:numId w:val="9"/>
        </w:numPr>
        <w:ind w:right="2"/>
      </w:pPr>
      <w:r>
        <w:t xml:space="preserve">Prova de inscrição nos cadastros estadual e municipal  de contribuintes, se houver; </w:t>
      </w:r>
    </w:p>
    <w:p w14:paraId="03144C65" w14:textId="77777777" w:rsidR="00D83294" w:rsidRDefault="004A6355" w:rsidP="007A7A07">
      <w:pPr>
        <w:numPr>
          <w:ilvl w:val="3"/>
          <w:numId w:val="9"/>
        </w:numPr>
        <w:ind w:right="2"/>
      </w:pPr>
      <w:r>
        <w:t xml:space="preserve">Ata  de  eleição  do  quadro  dirigente  atual  e/ou  ato  de  designação  das  pessoas  habilitadas  a  representar  a  Proponente  –  se  for  o  caso,  bem  como  a  relação  nominal  atualizada  destes  dos  dirigentes  da  Proponente,  conforme  o  estatuto,  com  endereço,  telefone,  endereço  de  correio  eletrônico,  número  e  órgão  expedidor  da  carteira  de  identidade  e  número  de  registro  no  Cadastro  de  Pessoas  Físicas  –  CPF  de  cada  um  deles; </w:t>
      </w:r>
    </w:p>
    <w:p w14:paraId="3CC37B02" w14:textId="77777777" w:rsidR="00D83294" w:rsidRDefault="004A6355" w:rsidP="007A7A07">
      <w:pPr>
        <w:numPr>
          <w:ilvl w:val="3"/>
          <w:numId w:val="9"/>
        </w:numPr>
        <w:ind w:right="2"/>
      </w:pPr>
      <w:r>
        <w:t xml:space="preserve">Cópia  de  documento  que  comprove  que  a  Proponente  funciona  no  endereço  por  ela  declarado, como, por exemplo, conta de consumo ou contrato de locação. </w:t>
      </w:r>
    </w:p>
    <w:p w14:paraId="3252DE09" w14:textId="77777777" w:rsidR="00D83294" w:rsidRDefault="004A6355" w:rsidP="007A7A07">
      <w:pPr>
        <w:numPr>
          <w:ilvl w:val="0"/>
          <w:numId w:val="5"/>
        </w:numPr>
        <w:spacing w:after="126" w:line="264" w:lineRule="auto"/>
        <w:ind w:right="0" w:hanging="311"/>
      </w:pPr>
      <w:r>
        <w:rPr>
          <w:b/>
          <w:u w:val="single" w:color="000000"/>
        </w:rPr>
        <w:t>Comprovação de Regularidade Fiscal</w:t>
      </w:r>
      <w:r>
        <w:rPr>
          <w:b/>
        </w:rPr>
        <w:t xml:space="preserve"> : </w:t>
      </w:r>
    </w:p>
    <w:p w14:paraId="301CD5BD" w14:textId="77777777" w:rsidR="00D83294" w:rsidRDefault="004A6355" w:rsidP="007A7A07">
      <w:pPr>
        <w:numPr>
          <w:ilvl w:val="3"/>
          <w:numId w:val="6"/>
        </w:numPr>
        <w:ind w:right="2"/>
      </w:pPr>
      <w:r>
        <w:t xml:space="preserve">Certidão  conjunta  negativa  de  débitos  relativas  a  tributos  federais  e  à  dívida  ativa  da União; </w:t>
      </w:r>
    </w:p>
    <w:p w14:paraId="5D407EA9" w14:textId="77777777" w:rsidR="00D83294" w:rsidRDefault="004A6355" w:rsidP="007A7A07">
      <w:pPr>
        <w:numPr>
          <w:ilvl w:val="3"/>
          <w:numId w:val="6"/>
        </w:numPr>
        <w:spacing w:after="0"/>
        <w:ind w:right="2"/>
      </w:pPr>
      <w:r>
        <w:t xml:space="preserve">Certificado  de  regularidade  para  com  o  Fundo  de  Garantia  por  Tempo  de  Serviço ( FGTS),  expedido pela Caixa Econômica Federal; </w:t>
      </w:r>
    </w:p>
    <w:p w14:paraId="0E4812C8" w14:textId="77777777" w:rsidR="00D83294" w:rsidRDefault="004A6355" w:rsidP="007A7A07">
      <w:pPr>
        <w:numPr>
          <w:ilvl w:val="3"/>
          <w:numId w:val="6"/>
        </w:numPr>
        <w:ind w:right="2"/>
      </w:pPr>
      <w:r>
        <w:t xml:space="preserve">Certidões  negativas  de  tributos  estaduais  e  municipais,  ou,  em  se  tratando  de  contribuinte  isento,  cópia  do  documento  de  isenção,  emitidos  pelo  órgão  competente  do Estado e do  Município; </w:t>
      </w:r>
    </w:p>
    <w:p w14:paraId="7E054005" w14:textId="77777777" w:rsidR="00D83294" w:rsidRDefault="004A6355" w:rsidP="007A7A07">
      <w:pPr>
        <w:numPr>
          <w:ilvl w:val="3"/>
          <w:numId w:val="6"/>
        </w:numPr>
        <w:ind w:right="2"/>
      </w:pPr>
      <w:r>
        <w:t xml:space="preserve">Certidão  negativa  de  débitos  trabalhistas,  expedida  pelo  órgão  competente  da  Justiça do  Trabalho. </w:t>
      </w:r>
    </w:p>
    <w:p w14:paraId="2A75F6F4" w14:textId="77777777" w:rsidR="00D83294" w:rsidRDefault="004A6355" w:rsidP="007A7A07">
      <w:pPr>
        <w:numPr>
          <w:ilvl w:val="1"/>
          <w:numId w:val="5"/>
        </w:numPr>
        <w:ind w:right="2"/>
      </w:pPr>
      <w:r>
        <w:t xml:space="preserve">Os  documentos  deverão  ser  apresentados  dentro  da  data  de  validade  e,  na  hipótese  de  não  mencionar  prazo  de  validade,  será  considerado  válido  pelo  prazo  de  60 ( sessenta)  dias  a  partir de sua emissão. </w:t>
      </w:r>
    </w:p>
    <w:p w14:paraId="0A8FC14A" w14:textId="77777777" w:rsidR="00D83294" w:rsidRDefault="004A6355" w:rsidP="007A7A07">
      <w:pPr>
        <w:numPr>
          <w:ilvl w:val="1"/>
          <w:numId w:val="5"/>
        </w:numPr>
        <w:spacing w:after="372"/>
        <w:ind w:right="2"/>
      </w:pPr>
      <w:r>
        <w:t xml:space="preserve">O  descumprimento  das  especificações  e  prazos  fixados  no  Edital  implicará  na  rejeição  da  proposta. </w:t>
      </w:r>
    </w:p>
    <w:p w14:paraId="47F6F4C5" w14:textId="77777777" w:rsidR="00D83294" w:rsidRDefault="004A6355" w:rsidP="007A7A07">
      <w:pPr>
        <w:pStyle w:val="Ttulo2"/>
        <w:tabs>
          <w:tab w:val="center" w:pos="3350"/>
        </w:tabs>
        <w:spacing w:after="240"/>
        <w:ind w:left="0" w:firstLine="0"/>
      </w:pPr>
      <w:r>
        <w:lastRenderedPageBreak/>
        <w:t xml:space="preserve"> 12. </w:t>
      </w:r>
      <w:r>
        <w:tab/>
        <w:t xml:space="preserve"> PERÍODO E FORMA DE ENTREGA DOS DOCUMENTOS </w:t>
      </w:r>
    </w:p>
    <w:p w14:paraId="68190EF1" w14:textId="77777777" w:rsidR="00D83294" w:rsidRDefault="004A6355" w:rsidP="007A7A07">
      <w:pPr>
        <w:ind w:left="1439" w:right="2" w:hanging="830"/>
      </w:pPr>
      <w:r>
        <w:t xml:space="preserve"> 12.1. </w:t>
      </w:r>
      <w:r>
        <w:tab/>
        <w:t xml:space="preserve"> Os  documentos  serão  recebidos  no período   estabelecido  no  Cronograma  deste  Edital  e/ou suas retificações que, porventura, vierem a existir. </w:t>
      </w:r>
    </w:p>
    <w:p w14:paraId="245F2A8A" w14:textId="77777777" w:rsidR="00D83294" w:rsidRDefault="004A6355" w:rsidP="007A7A07">
      <w:pPr>
        <w:tabs>
          <w:tab w:val="center" w:pos="844"/>
          <w:tab w:val="center" w:pos="3041"/>
        </w:tabs>
        <w:ind w:right="0" w:firstLine="0"/>
      </w:pPr>
      <w:r>
        <w:tab/>
        <w:t xml:space="preserve"> 12.2. </w:t>
      </w:r>
      <w:r>
        <w:tab/>
        <w:t xml:space="preserve"> Forma de envio dos documentos: </w:t>
      </w:r>
    </w:p>
    <w:p w14:paraId="71EFB4B1" w14:textId="0B65B51F" w:rsidR="00D83294" w:rsidRDefault="004A6355" w:rsidP="007A7A07">
      <w:pPr>
        <w:ind w:left="1439" w:right="2"/>
      </w:pPr>
      <w:r>
        <w:rPr>
          <w:b/>
        </w:rPr>
        <w:t xml:space="preserve"> a) </w:t>
      </w:r>
      <w:r>
        <w:t xml:space="preserve"> A  Proponente  deverá  enviar  </w:t>
      </w:r>
      <w:r w:rsidR="009257BE">
        <w:t xml:space="preserve">a Identificação </w:t>
      </w:r>
      <w:r w:rsidR="00353EE1">
        <w:t>e o</w:t>
      </w:r>
      <w:r>
        <w:rPr>
          <w:b/>
        </w:rPr>
        <w:t xml:space="preserve"> Plano  de  Trabalho </w:t>
      </w:r>
      <w:r>
        <w:t xml:space="preserve"> </w:t>
      </w:r>
      <w:r w:rsidRPr="00353EE1">
        <w:t xml:space="preserve">(ANEXO  </w:t>
      </w:r>
      <w:r w:rsidR="00267D80" w:rsidRPr="00353EE1">
        <w:t>I</w:t>
      </w:r>
      <w:r w:rsidRPr="00353EE1">
        <w:t>),</w:t>
      </w:r>
      <w:r>
        <w:t xml:space="preserve">  com  os  documentos  de </w:t>
      </w:r>
      <w:r>
        <w:rPr>
          <w:b/>
        </w:rPr>
        <w:t xml:space="preserve"> Habilitação Jurídica e de Regularidade Fiscal </w:t>
      </w:r>
      <w:r>
        <w:t xml:space="preserve"> da  seguinte forma: </w:t>
      </w:r>
    </w:p>
    <w:p w14:paraId="13F3CBDC" w14:textId="77777777" w:rsidR="00D83294" w:rsidRDefault="004A6355" w:rsidP="007A7A07">
      <w:pPr>
        <w:pStyle w:val="Ttulo2"/>
        <w:spacing w:after="130" w:line="259" w:lineRule="auto"/>
        <w:ind w:left="729" w:right="581"/>
      </w:pPr>
      <w:r>
        <w:t xml:space="preserve"> i. </w:t>
      </w:r>
      <w:r>
        <w:rPr>
          <w:b w:val="0"/>
        </w:rPr>
        <w:t xml:space="preserve"> Via digital para o e-mail </w:t>
      </w:r>
      <w:r>
        <w:t xml:space="preserve"> </w:t>
      </w:r>
      <w:r w:rsidR="00D23B38">
        <w:t>gerenciageral@caupb.gov.br</w:t>
      </w:r>
      <w:r>
        <w:rPr>
          <w:b w:val="0"/>
        </w:rPr>
        <w:t xml:space="preserve">;  </w:t>
      </w:r>
    </w:p>
    <w:p w14:paraId="0AE07D95" w14:textId="77777777" w:rsidR="00D83294" w:rsidRPr="00353EE1" w:rsidRDefault="004A6355" w:rsidP="007A7A07">
      <w:pPr>
        <w:numPr>
          <w:ilvl w:val="0"/>
          <w:numId w:val="10"/>
        </w:numPr>
        <w:ind w:right="2"/>
        <w:rPr>
          <w:color w:val="auto"/>
        </w:rPr>
      </w:pPr>
      <w:r w:rsidRPr="00353EE1">
        <w:rPr>
          <w:color w:val="auto"/>
        </w:rPr>
        <w:t xml:space="preserve">Arquivos  em  formato  PDF,  devidamente  identificados  com  o  nome  da  entidade  e  o  tipo  de  documento,  conforme  exemplo: </w:t>
      </w:r>
      <w:r w:rsidRPr="00353EE1">
        <w:rPr>
          <w:b/>
          <w:color w:val="auto"/>
        </w:rPr>
        <w:t xml:space="preserve"> Entidade  A  –  Estatuto  Social  –  Edital  CAU-PB  0</w:t>
      </w:r>
      <w:r w:rsidR="006449E2" w:rsidRPr="00353EE1">
        <w:rPr>
          <w:b/>
          <w:color w:val="auto"/>
        </w:rPr>
        <w:t>1</w:t>
      </w:r>
      <w:r w:rsidRPr="00353EE1">
        <w:rPr>
          <w:b/>
          <w:color w:val="auto"/>
        </w:rPr>
        <w:t>-202</w:t>
      </w:r>
      <w:r w:rsidR="006449E2" w:rsidRPr="00353EE1">
        <w:rPr>
          <w:b/>
          <w:color w:val="auto"/>
        </w:rPr>
        <w:t>3</w:t>
      </w:r>
      <w:r w:rsidRPr="00353EE1">
        <w:rPr>
          <w:b/>
          <w:color w:val="auto"/>
        </w:rPr>
        <w:t xml:space="preserve">. </w:t>
      </w:r>
      <w:r w:rsidRPr="00353EE1">
        <w:rPr>
          <w:color w:val="auto"/>
        </w:rPr>
        <w:t xml:space="preserve"> Os  documentos com  mais  de  01 ( uma)  página deverão ser enviados em  arquivo único; </w:t>
      </w:r>
    </w:p>
    <w:p w14:paraId="613E7B9E" w14:textId="77777777" w:rsidR="00D83294" w:rsidRDefault="004A6355" w:rsidP="007A7A07">
      <w:pPr>
        <w:numPr>
          <w:ilvl w:val="0"/>
          <w:numId w:val="10"/>
        </w:numPr>
        <w:ind w:right="2"/>
      </w:pPr>
      <w:r>
        <w:t xml:space="preserve">Os  documentos  devem  estar  assinados  pelo  representante  legal  da  entidade Proponente, sendo: </w:t>
      </w:r>
    </w:p>
    <w:p w14:paraId="351948F8" w14:textId="77777777" w:rsidR="00D83294" w:rsidRDefault="004A6355" w:rsidP="007A7A07">
      <w:pPr>
        <w:numPr>
          <w:ilvl w:val="1"/>
          <w:numId w:val="10"/>
        </w:numPr>
        <w:spacing w:after="124" w:line="265" w:lineRule="auto"/>
        <w:ind w:right="40"/>
      </w:pPr>
      <w:r>
        <w:t xml:space="preserve">Preferencialmente com certificação digital; </w:t>
      </w:r>
    </w:p>
    <w:p w14:paraId="26113381" w14:textId="09E052C2" w:rsidR="00D83294" w:rsidRDefault="004A6355" w:rsidP="007A7A07">
      <w:pPr>
        <w:numPr>
          <w:ilvl w:val="1"/>
          <w:numId w:val="10"/>
        </w:numPr>
        <w:ind w:right="40"/>
      </w:pPr>
      <w:r>
        <w:t>Manualmente  –  neste  caso,  deve  ser  assinado</w:t>
      </w:r>
      <w:r w:rsidR="009257BE">
        <w:t xml:space="preserve">, reconhecido a firma </w:t>
      </w:r>
      <w:r>
        <w:t xml:space="preserve"> e  digitalizado  em  formato  PDF  ou  outro  similar,  e  bloqueado  para  edição.  Não  serão  aceitas  assinaturas  no  formato  de  imagem ( JPG/JFIF,  BMP,  PNG  e  outras  semelhantes)  que  estejam  “recortadas  e  coladas”  nos  documentos. </w:t>
      </w:r>
    </w:p>
    <w:p w14:paraId="7CF1946E" w14:textId="77777777" w:rsidR="00D83294" w:rsidRDefault="004A6355" w:rsidP="007A7A07">
      <w:pPr>
        <w:numPr>
          <w:ilvl w:val="0"/>
          <w:numId w:val="10"/>
        </w:numPr>
        <w:ind w:right="2"/>
      </w:pPr>
      <w:r>
        <w:t xml:space="preserve">Se  preferir,  a  entidade  poderá  enviar  os  arquivos  agrupados  em  pastas ( zipados). </w:t>
      </w:r>
    </w:p>
    <w:p w14:paraId="5AD8457B" w14:textId="77777777" w:rsidR="00D83294" w:rsidRDefault="004A6355" w:rsidP="007A7A07">
      <w:pPr>
        <w:spacing w:after="372"/>
        <w:ind w:left="1439" w:right="2"/>
      </w:pPr>
      <w:r>
        <w:rPr>
          <w:b/>
        </w:rPr>
        <w:t xml:space="preserve"> b) </w:t>
      </w:r>
      <w:r>
        <w:t xml:space="preserve"> Será  aceito  somente  01 ( um)  Plano  de  Trabalho  para  cada  e-mail  enviado.  Contudo,  a  entidade  interessada  em  encaminhar  mais  de  uma  proposta,  remeterá  os  documentos  para  a  Habilitação  Jurídica  e  Comprovação  de  Regularidade  Fiscal  uma  única  vez.  Ao  CAU/PB  caberá  emissão  de  Certidão  de  Regularidade  desses  documentos, que será anexada às demais Propostas da mesma Proponente. </w:t>
      </w:r>
    </w:p>
    <w:p w14:paraId="35EE73E6" w14:textId="3C13E385" w:rsidR="00D83294" w:rsidRDefault="004A6355" w:rsidP="007A7A07">
      <w:pPr>
        <w:pStyle w:val="Ttulo2"/>
        <w:tabs>
          <w:tab w:val="center" w:pos="2110"/>
        </w:tabs>
        <w:ind w:left="0" w:firstLine="0"/>
      </w:pPr>
      <w:r>
        <w:t xml:space="preserve"> 13. </w:t>
      </w:r>
      <w:r>
        <w:tab/>
        <w:t xml:space="preserve"> DA</w:t>
      </w:r>
      <w:r w:rsidR="00957049">
        <w:t>S</w:t>
      </w:r>
      <w:r>
        <w:t xml:space="preserve"> COMISS</w:t>
      </w:r>
      <w:r w:rsidR="00957049">
        <w:t>ÕES</w:t>
      </w:r>
      <w:r>
        <w:t xml:space="preserve"> DE SELEÇÃO </w:t>
      </w:r>
    </w:p>
    <w:p w14:paraId="17E10DD5" w14:textId="0075BC62" w:rsidR="00D83294" w:rsidRDefault="004A6355" w:rsidP="007A7A07">
      <w:pPr>
        <w:ind w:left="1439" w:right="2" w:hanging="830"/>
      </w:pPr>
      <w:r>
        <w:t xml:space="preserve"> 13.1.  Uma  vez  designada  pelo  Presidente  do  CAU/P</w:t>
      </w:r>
      <w:r w:rsidRPr="00A86859">
        <w:t>B,  a</w:t>
      </w:r>
      <w:r w:rsidR="00A73E1F" w:rsidRPr="00A86859">
        <w:t>s</w:t>
      </w:r>
      <w:r w:rsidRPr="00A86859">
        <w:t xml:space="preserve"> </w:t>
      </w:r>
      <w:r w:rsidRPr="00A86859">
        <w:rPr>
          <w:b/>
        </w:rPr>
        <w:t xml:space="preserve"> Comiss</w:t>
      </w:r>
      <w:r w:rsidR="00A73E1F" w:rsidRPr="00A86859">
        <w:rPr>
          <w:b/>
        </w:rPr>
        <w:t>ões</w:t>
      </w:r>
      <w:r w:rsidRPr="00A86859">
        <w:rPr>
          <w:b/>
        </w:rPr>
        <w:t xml:space="preserve">  de  Seleção </w:t>
      </w:r>
      <w:r w:rsidRPr="00A86859">
        <w:t xml:space="preserve"> se  reunir</w:t>
      </w:r>
      <w:r w:rsidR="00A73E1F" w:rsidRPr="00A86859">
        <w:t>ão</w:t>
      </w:r>
      <w:r>
        <w:t xml:space="preserve"> conforme  consta  no  Cronograma  deste  Edital,  a  fim  de  receber,  verificar  e  selecionar  as propostas. </w:t>
      </w:r>
    </w:p>
    <w:p w14:paraId="2FDC5E99" w14:textId="77777777" w:rsidR="00D83294" w:rsidRDefault="004A6355" w:rsidP="007A7A07">
      <w:pPr>
        <w:ind w:left="1439" w:right="2" w:hanging="830"/>
      </w:pPr>
      <w:r>
        <w:t xml:space="preserve"> 13.2.  Deverá  se  declarar  impedido  o  membro  da  Comissão  de  Seleção  que  tenha  participado,  nos  últimos  05  (cinco)  anos,  contados  da  publicação  do  presente  Edital,  como  dirigente,  conselheiro  titular  ou  empregado  de  qualquer  Proponente  participante  do  Chamamento  </w:t>
      </w:r>
      <w:r>
        <w:lastRenderedPageBreak/>
        <w:t xml:space="preserve">Público,  ou  cuja  atuação  no  processo  de  seleção  configure conflito de interesse, nos termos da  Lei n.º 12.813/2013. </w:t>
      </w:r>
    </w:p>
    <w:p w14:paraId="3425F298" w14:textId="77777777" w:rsidR="00D83294" w:rsidRDefault="004A6355" w:rsidP="007A7A07">
      <w:pPr>
        <w:ind w:left="2158" w:right="2" w:hanging="1004"/>
      </w:pPr>
      <w:r>
        <w:t xml:space="preserve"> 13.2.1.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2ED870FC" w14:textId="77777777" w:rsidR="00D83294" w:rsidRDefault="004A6355" w:rsidP="007A7A07">
      <w:pPr>
        <w:ind w:left="2158" w:right="2" w:hanging="1004"/>
      </w:pPr>
      <w:r>
        <w:t xml:space="preserve"> 13.2.2.  À  alteração  deverá  ser  dada  publicidade  no  sítio  do  Portal  da  Transparência  do CAU/PB (</w:t>
      </w:r>
      <w:hyperlink r:id="rId15">
        <w:r>
          <w:rPr>
            <w:color w:val="1155CC"/>
            <w:u w:val="single" w:color="1155CC"/>
          </w:rPr>
          <w:t xml:space="preserve"> </w:t>
        </w:r>
      </w:hyperlink>
      <w:hyperlink r:id="rId16">
        <w:r>
          <w:rPr>
            <w:color w:val="1155CC"/>
            <w:u w:val="single" w:color="1155CC"/>
          </w:rPr>
          <w:t>www.caupb.gov.br</w:t>
        </w:r>
      </w:hyperlink>
      <w:hyperlink r:id="rId17">
        <w:r>
          <w:t xml:space="preserve"> )</w:t>
        </w:r>
      </w:hyperlink>
      <w:r>
        <w:t xml:space="preserve">. </w:t>
      </w:r>
    </w:p>
    <w:p w14:paraId="40733D20" w14:textId="77777777" w:rsidR="00D83294" w:rsidRDefault="004A6355" w:rsidP="007A7A07">
      <w:pPr>
        <w:ind w:left="1439" w:right="2" w:hanging="830"/>
      </w:pPr>
      <w:r>
        <w:t xml:space="preserve"> 13.3.  Para  analisar  os  Planos  de  Trabalho,  a  Comissão  de  Seleção  se  reunirá  em  sessão  restrita, conforme cronograma estabelecido neste Edital. </w:t>
      </w:r>
    </w:p>
    <w:p w14:paraId="1FFCDCB4" w14:textId="77777777" w:rsidR="00D83294" w:rsidRDefault="004A6355" w:rsidP="007A7A07">
      <w:pPr>
        <w:pStyle w:val="Ttulo2"/>
        <w:ind w:left="705" w:hanging="676"/>
      </w:pPr>
      <w:r>
        <w:t xml:space="preserve"> 14. </w:t>
      </w:r>
      <w:r>
        <w:tab/>
        <w:t xml:space="preserve"> DA  SELEÇÃO  E  DOS  CRITÉRIOS TÉCNICOS   DE  AVALIAÇÃO  E  APROVAÇÃO  DAS  PROPOSTAS </w:t>
      </w:r>
    </w:p>
    <w:p w14:paraId="42ABA455" w14:textId="77777777" w:rsidR="00B365C7" w:rsidRDefault="004A6355" w:rsidP="007A7A07">
      <w:pPr>
        <w:ind w:left="1439" w:right="2" w:hanging="830"/>
      </w:pPr>
      <w:r>
        <w:t xml:space="preserve"> 14.1.  </w:t>
      </w:r>
      <w:r w:rsidR="00B365C7" w:rsidRPr="009257BE">
        <w:t xml:space="preserve">O </w:t>
      </w:r>
      <w:r w:rsidR="00B365C7" w:rsidRPr="009257BE">
        <w:rPr>
          <w:b/>
        </w:rPr>
        <w:t>Plano de Trabalho</w:t>
      </w:r>
      <w:r w:rsidR="00B365C7" w:rsidRPr="009257BE">
        <w:t xml:space="preserve"> não poderá ser assinado, rubricado e/ou conter qualquer palavra e/ou marca que o identifique em outro local que não o apropriado (</w:t>
      </w:r>
      <w:r w:rsidR="00BE628A" w:rsidRPr="009257BE">
        <w:t>Anexo I – Identificação do Proponente</w:t>
      </w:r>
      <w:r w:rsidR="00B365C7" w:rsidRPr="009257BE">
        <w:t xml:space="preserve">), sob pena de ser </w:t>
      </w:r>
      <w:r w:rsidR="00BE628A" w:rsidRPr="009257BE">
        <w:t>desclassificad</w:t>
      </w:r>
      <w:r w:rsidR="00B365C7" w:rsidRPr="009257BE">
        <w:t>o. Assim, a detecção de qualquer marca identificadora no espaço destinado</w:t>
      </w:r>
      <w:r w:rsidR="00BE628A" w:rsidRPr="009257BE">
        <w:t xml:space="preserve"> ao Plano de Trabalho</w:t>
      </w:r>
      <w:r w:rsidR="00B365C7" w:rsidRPr="009257BE">
        <w:t xml:space="preserve"> acarretará</w:t>
      </w:r>
      <w:r w:rsidR="00BE628A" w:rsidRPr="009257BE">
        <w:t xml:space="preserve"> na eliminação do proponente.</w:t>
      </w:r>
    </w:p>
    <w:p w14:paraId="4DCC1A88" w14:textId="57E2147E" w:rsidR="00D83294" w:rsidRDefault="004A6355" w:rsidP="007A7A07">
      <w:pPr>
        <w:ind w:left="1439" w:right="2" w:hanging="830"/>
      </w:pPr>
      <w:r>
        <w:t xml:space="preserve">A  fase  de  seleção  e  aprovação  das  propostas  compreende  a  análise  do  mérito  das  propostas  recebidas  pela  Comissão  de  Seleção,  de  acordo  com  as  informações  apresentadas no </w:t>
      </w:r>
      <w:r>
        <w:rPr>
          <w:b/>
        </w:rPr>
        <w:t xml:space="preserve"> Plano de Trabalho </w:t>
      </w:r>
      <w:r w:rsidRPr="009257BE">
        <w:t xml:space="preserve">( ANEXO </w:t>
      </w:r>
      <w:r w:rsidR="00B365C7" w:rsidRPr="009257BE">
        <w:t>I</w:t>
      </w:r>
      <w:r w:rsidRPr="009257BE">
        <w:t>).</w:t>
      </w:r>
      <w:r>
        <w:t xml:space="preserve"> </w:t>
      </w:r>
    </w:p>
    <w:p w14:paraId="2A22C274" w14:textId="77777777" w:rsidR="00D83294" w:rsidRDefault="004A6355" w:rsidP="007A7A07">
      <w:pPr>
        <w:ind w:left="1439" w:right="2" w:hanging="830"/>
      </w:pPr>
      <w:r>
        <w:t xml:space="preserve"> 14.2.  A  Comissão de   Seleção  poderá  suspender  a sessão  sempre   que  julgar  necessário  para  analisar os documentos, objetivando confirmar as informações prestadas. </w:t>
      </w:r>
    </w:p>
    <w:p w14:paraId="128A96F6" w14:textId="77777777" w:rsidR="006449E2" w:rsidRDefault="004A6355" w:rsidP="007A7A07">
      <w:pPr>
        <w:spacing w:after="60" w:line="322" w:lineRule="auto"/>
        <w:ind w:left="1439" w:right="2" w:hanging="830"/>
        <w:rPr>
          <w:b/>
        </w:rPr>
      </w:pPr>
      <w:r>
        <w:t xml:space="preserve"> 14.3.  Na  fase de  avaliação,   serão  analisadas  as propostas   e  será  considerado  o  grau  de  adequação aos objetivos com base nos critérios de julgamento a seguir dispostos: </w:t>
      </w:r>
      <w:r>
        <w:rPr>
          <w:b/>
        </w:rPr>
        <w:t xml:space="preserve"> </w:t>
      </w:r>
    </w:p>
    <w:p w14:paraId="69CE2565" w14:textId="77777777" w:rsidR="00D83294" w:rsidRDefault="004A6355" w:rsidP="007A7A07">
      <w:pPr>
        <w:spacing w:after="60" w:line="322" w:lineRule="auto"/>
        <w:ind w:left="1439" w:right="2" w:hanging="830"/>
      </w:pPr>
      <w:r>
        <w:rPr>
          <w:b/>
        </w:rPr>
        <w:t xml:space="preserve">I. </w:t>
      </w:r>
      <w:r>
        <w:t xml:space="preserve"> Originalidade/Inovação da proposta – Critérios  de Mérito – </w:t>
      </w:r>
      <w:r>
        <w:rPr>
          <w:b/>
        </w:rPr>
        <w:t xml:space="preserve"> nota máxima 1,0</w:t>
      </w:r>
      <w:r>
        <w:t xml:space="preserve"> : </w:t>
      </w:r>
    </w:p>
    <w:p w14:paraId="247D7F37" w14:textId="77777777" w:rsidR="00D83294" w:rsidRDefault="004A6355" w:rsidP="007A7A07">
      <w:pPr>
        <w:numPr>
          <w:ilvl w:val="0"/>
          <w:numId w:val="11"/>
        </w:numPr>
        <w:ind w:right="2"/>
      </w:pPr>
      <w:r>
        <w:t xml:space="preserve">Propostas inéditas   serão  analisadas  pelos  aspectos de  originalidade   e  de  pertinência em  relação ao Edital; </w:t>
      </w:r>
    </w:p>
    <w:p w14:paraId="7D862D8E" w14:textId="77777777" w:rsidR="00D83294" w:rsidRDefault="004A6355" w:rsidP="007A7A07">
      <w:pPr>
        <w:numPr>
          <w:ilvl w:val="0"/>
          <w:numId w:val="11"/>
        </w:numPr>
        <w:ind w:right="2"/>
      </w:pPr>
      <w:r>
        <w:t xml:space="preserve">Propostas  com  histórico  de  realização  serão  avaliadas  pela relevância   das inovações propostas com foco no Edital. </w:t>
      </w:r>
      <w:r>
        <w:tab/>
        <w:t xml:space="preserve"> </w:t>
      </w:r>
    </w:p>
    <w:p w14:paraId="1F8E92DB" w14:textId="77777777" w:rsidR="00D83294" w:rsidRDefault="004A6355" w:rsidP="007A7A07">
      <w:pPr>
        <w:ind w:left="1439" w:right="2"/>
      </w:pPr>
      <w:r>
        <w:rPr>
          <w:b/>
        </w:rPr>
        <w:t xml:space="preserve">II.  </w:t>
      </w:r>
      <w:r>
        <w:t xml:space="preserve"> Clareza e coerência na apresentação da proposta  – </w:t>
      </w:r>
      <w:r>
        <w:rPr>
          <w:b/>
        </w:rPr>
        <w:t xml:space="preserve"> nota máxima 2,0</w:t>
      </w:r>
      <w:r>
        <w:t xml:space="preserve">:  </w:t>
      </w:r>
    </w:p>
    <w:p w14:paraId="3BA48F2F" w14:textId="77777777" w:rsidR="00D83294" w:rsidRDefault="004A6355" w:rsidP="007A7A07">
      <w:pPr>
        <w:ind w:left="1439" w:right="2"/>
      </w:pPr>
      <w:r>
        <w:t xml:space="preserve"> As propostas serão avaliadas pelos seguintes critérios: </w:t>
      </w:r>
    </w:p>
    <w:p w14:paraId="3315DDAF" w14:textId="77777777" w:rsidR="00D83294" w:rsidRDefault="004A6355" w:rsidP="007A7A07">
      <w:pPr>
        <w:numPr>
          <w:ilvl w:val="0"/>
          <w:numId w:val="12"/>
        </w:numPr>
        <w:ind w:right="2" w:firstLine="719"/>
      </w:pPr>
      <w:r>
        <w:t xml:space="preserve">A qualidade de sua apresentação; </w:t>
      </w:r>
    </w:p>
    <w:p w14:paraId="68E653B8" w14:textId="77777777" w:rsidR="00D83294" w:rsidRDefault="004A6355" w:rsidP="007A7A07">
      <w:pPr>
        <w:numPr>
          <w:ilvl w:val="0"/>
          <w:numId w:val="12"/>
        </w:numPr>
        <w:ind w:right="2" w:firstLine="719"/>
      </w:pPr>
      <w:r>
        <w:t xml:space="preserve">Clareza na exposição dos objetivos; </w:t>
      </w:r>
      <w:r>
        <w:tab/>
        <w:t xml:space="preserve"> </w:t>
      </w:r>
    </w:p>
    <w:p w14:paraId="6726AF2E" w14:textId="77777777" w:rsidR="00D83294" w:rsidRDefault="004A6355" w:rsidP="007A7A07">
      <w:pPr>
        <w:numPr>
          <w:ilvl w:val="0"/>
          <w:numId w:val="12"/>
        </w:numPr>
        <w:ind w:right="2" w:firstLine="719"/>
      </w:pPr>
      <w:r>
        <w:t xml:space="preserve">Exequibilidade e aspectos técnico-operacionais; </w:t>
      </w:r>
    </w:p>
    <w:p w14:paraId="521B62C8" w14:textId="77777777" w:rsidR="006449E2" w:rsidRPr="006449E2" w:rsidRDefault="004A6355" w:rsidP="007A7A07">
      <w:pPr>
        <w:numPr>
          <w:ilvl w:val="0"/>
          <w:numId w:val="12"/>
        </w:numPr>
        <w:spacing w:after="0" w:line="376" w:lineRule="auto"/>
        <w:ind w:right="2" w:firstLine="719"/>
      </w:pPr>
      <w:r>
        <w:lastRenderedPageBreak/>
        <w:t xml:space="preserve">A coerência do cronograma de execução e da estratégia  de divulgação; </w:t>
      </w:r>
      <w:r>
        <w:rPr>
          <w:b/>
        </w:rPr>
        <w:t xml:space="preserve"> </w:t>
      </w:r>
    </w:p>
    <w:p w14:paraId="7FA98225" w14:textId="77777777" w:rsidR="00D83294" w:rsidRDefault="004A6355" w:rsidP="007A7A07">
      <w:pPr>
        <w:spacing w:after="0" w:line="376" w:lineRule="auto"/>
        <w:ind w:left="1418" w:right="2" w:firstLine="0"/>
      </w:pPr>
      <w:r>
        <w:rPr>
          <w:b/>
        </w:rPr>
        <w:t xml:space="preserve">III. </w:t>
      </w:r>
      <w:r>
        <w:t xml:space="preserve"> Qualidade das contrapartidas – </w:t>
      </w:r>
      <w:r>
        <w:rPr>
          <w:b/>
        </w:rPr>
        <w:t xml:space="preserve"> nota máxima 2,0</w:t>
      </w:r>
      <w:r>
        <w:t xml:space="preserve">.  </w:t>
      </w:r>
    </w:p>
    <w:p w14:paraId="24F2D06F" w14:textId="77777777" w:rsidR="00D83294" w:rsidRDefault="004A6355" w:rsidP="007A7A07">
      <w:pPr>
        <w:ind w:left="1439" w:right="2"/>
      </w:pPr>
      <w:r>
        <w:t xml:space="preserve"> Neste quesito serão avaliados: </w:t>
      </w:r>
    </w:p>
    <w:p w14:paraId="12330A12" w14:textId="77777777" w:rsidR="00D83294" w:rsidRDefault="004A6355" w:rsidP="007A7A07">
      <w:pPr>
        <w:ind w:left="2143" w:right="2"/>
      </w:pPr>
      <w:r>
        <w:rPr>
          <w:b/>
        </w:rPr>
        <w:t xml:space="preserve"> a) </w:t>
      </w:r>
      <w:r>
        <w:t xml:space="preserve"> Os  métodos  de  divulgação  e  o  potencial  de  resultado  para  a  divulgação  do  CAU/PB  para  arquitetos  e  urbanistas  e  para  a  sociedade  do  estado  da  Paraíba. </w:t>
      </w:r>
    </w:p>
    <w:p w14:paraId="4B15FC8D" w14:textId="77777777" w:rsidR="00D83294" w:rsidRDefault="004A6355" w:rsidP="007A7A07">
      <w:pPr>
        <w:spacing w:after="60" w:line="322" w:lineRule="auto"/>
        <w:ind w:left="1439" w:right="2"/>
      </w:pPr>
      <w:r>
        <w:rPr>
          <w:b/>
        </w:rPr>
        <w:t xml:space="preserve"> IV. </w:t>
      </w:r>
      <w:r>
        <w:t xml:space="preserve"> A  relevância  da  proposta  que  promova  o  fortalecimento  da  ATHIS  no  âmbito  da  Arquitetura e Urbanismo – </w:t>
      </w:r>
      <w:r>
        <w:rPr>
          <w:b/>
        </w:rPr>
        <w:t xml:space="preserve"> nota máxima 3,0</w:t>
      </w:r>
      <w:r>
        <w:t xml:space="preserve">.   Neste quesito serão avaliados: </w:t>
      </w:r>
    </w:p>
    <w:p w14:paraId="258686EA" w14:textId="77777777" w:rsidR="00D83294" w:rsidRDefault="004A6355" w:rsidP="007A7A07">
      <w:pPr>
        <w:numPr>
          <w:ilvl w:val="1"/>
          <w:numId w:val="13"/>
        </w:numPr>
        <w:ind w:right="2"/>
      </w:pPr>
      <w:r>
        <w:t xml:space="preserve">Os aspectos técnico-operacionais; </w:t>
      </w:r>
    </w:p>
    <w:p w14:paraId="568E94A7" w14:textId="206355BE" w:rsidR="00D83294" w:rsidRDefault="004A6355" w:rsidP="00D61BC7">
      <w:pPr>
        <w:numPr>
          <w:ilvl w:val="1"/>
          <w:numId w:val="13"/>
        </w:numPr>
        <w:spacing w:after="0"/>
        <w:ind w:right="2"/>
      </w:pPr>
      <w:r>
        <w:t xml:space="preserve">O  potencial  da  proposta  para  a  produção  e  difusão  da  ATHIS  no  estado  da Paraíba; </w:t>
      </w:r>
    </w:p>
    <w:p w14:paraId="36E9BE82" w14:textId="77777777" w:rsidR="00D83294" w:rsidRDefault="004A6355" w:rsidP="007A7A07">
      <w:pPr>
        <w:numPr>
          <w:ilvl w:val="1"/>
          <w:numId w:val="13"/>
        </w:numPr>
        <w:ind w:right="2"/>
      </w:pPr>
      <w:r>
        <w:t xml:space="preserve">Relevância  em  relação  às  contribuições  para  o  desenvolvimento  da  ATHIS  no estado da Paraíba; </w:t>
      </w:r>
    </w:p>
    <w:p w14:paraId="403E5406" w14:textId="77777777" w:rsidR="00D83294" w:rsidRDefault="004A6355" w:rsidP="007A7A07">
      <w:pPr>
        <w:numPr>
          <w:ilvl w:val="1"/>
          <w:numId w:val="13"/>
        </w:numPr>
        <w:spacing w:after="10" w:line="259" w:lineRule="auto"/>
        <w:ind w:right="2"/>
      </w:pPr>
      <w:r>
        <w:t>Promoção,  desenvolvimento  e  fortalecimento  do exercício  profissional  da</w:t>
      </w:r>
    </w:p>
    <w:p w14:paraId="322A3901" w14:textId="77777777" w:rsidR="00D83294" w:rsidRDefault="004A6355" w:rsidP="007A7A07">
      <w:pPr>
        <w:ind w:left="2143" w:right="2"/>
      </w:pPr>
      <w:r>
        <w:t xml:space="preserve"> Arquitetura e Urbanismo no estado da Paraíba; </w:t>
      </w:r>
    </w:p>
    <w:p w14:paraId="18D9B880" w14:textId="77777777" w:rsidR="00D83294" w:rsidRDefault="004A6355" w:rsidP="007A7A07">
      <w:pPr>
        <w:numPr>
          <w:ilvl w:val="1"/>
          <w:numId w:val="13"/>
        </w:numPr>
        <w:ind w:right="2"/>
      </w:pPr>
      <w:r>
        <w:t xml:space="preserve">Potencialização,  conquista  e  ampliação  do  campo  de  atuação  profissional  no estado da Paraíba; </w:t>
      </w:r>
    </w:p>
    <w:p w14:paraId="7387D7DF" w14:textId="77777777" w:rsidR="006449E2" w:rsidRPr="006449E2" w:rsidRDefault="004A6355" w:rsidP="007A7A07">
      <w:pPr>
        <w:numPr>
          <w:ilvl w:val="1"/>
          <w:numId w:val="13"/>
        </w:numPr>
        <w:spacing w:after="60" w:line="322" w:lineRule="auto"/>
        <w:ind w:right="2"/>
      </w:pPr>
      <w:r>
        <w:t xml:space="preserve">Promoção,  articulação  e  fortalecimento  das  pessoas  jurídicas  de  Arquitetura e Urbanismo  no estado da Paraíba. </w:t>
      </w:r>
      <w:r>
        <w:rPr>
          <w:b/>
        </w:rPr>
        <w:t xml:space="preserve"> </w:t>
      </w:r>
    </w:p>
    <w:p w14:paraId="3D7169E4" w14:textId="77777777" w:rsidR="00D83294" w:rsidRDefault="004A6355" w:rsidP="007A7A07">
      <w:pPr>
        <w:spacing w:after="60" w:line="322" w:lineRule="auto"/>
        <w:ind w:left="1418" w:right="2" w:firstLine="0"/>
      </w:pPr>
      <w:r>
        <w:rPr>
          <w:b/>
        </w:rPr>
        <w:t xml:space="preserve">V. </w:t>
      </w:r>
      <w:r>
        <w:t xml:space="preserve"> A relevância social da proposta – </w:t>
      </w:r>
      <w:r>
        <w:rPr>
          <w:b/>
        </w:rPr>
        <w:t xml:space="preserve"> nota máxima 2,0</w:t>
      </w:r>
      <w:r>
        <w:t xml:space="preserve">:  </w:t>
      </w:r>
    </w:p>
    <w:p w14:paraId="42F82E9D" w14:textId="77777777" w:rsidR="00D83294" w:rsidRDefault="004A6355" w:rsidP="007A7A07">
      <w:pPr>
        <w:ind w:left="2143" w:right="2"/>
      </w:pPr>
      <w:r>
        <w:rPr>
          <w:b/>
        </w:rPr>
        <w:t xml:space="preserve"> a) </w:t>
      </w:r>
      <w:r>
        <w:t xml:space="preserve"> Desenvolvimento  social  inclusivo,  de  forma  a  contribuir  para  a  redução  de  desigualdades  e  melhoria  da  qualidade  de  vida  nos  ambientes  urbanos  e  rurais, bem como do seu alcance territorial (local ou regional). </w:t>
      </w:r>
    </w:p>
    <w:p w14:paraId="46210E42" w14:textId="77777777" w:rsidR="00D83294" w:rsidRDefault="004A6355" w:rsidP="007A7A07">
      <w:pPr>
        <w:ind w:left="1439" w:right="2" w:hanging="830"/>
      </w:pPr>
      <w:r>
        <w:t xml:space="preserve"> 14.4.  A  Comissão  de  Seleção  deverá,  em  seu  parecer,  elencar  os  aspectos que   foram  considerados na proposta para a sua aprovação ou desaprovação. </w:t>
      </w:r>
    </w:p>
    <w:p w14:paraId="7D2CCFEA" w14:textId="77777777" w:rsidR="00D83294" w:rsidRDefault="004A6355" w:rsidP="007A7A07">
      <w:pPr>
        <w:tabs>
          <w:tab w:val="center" w:pos="844"/>
          <w:tab w:val="center" w:pos="5161"/>
        </w:tabs>
        <w:ind w:right="0" w:firstLine="0"/>
      </w:pPr>
      <w:r>
        <w:tab/>
        <w:t xml:space="preserve"> 14.5. </w:t>
      </w:r>
      <w:r>
        <w:tab/>
        <w:t xml:space="preserve"> Será classificada em primeiro lugar a proposta que atingir a maior pontuação. </w:t>
      </w:r>
    </w:p>
    <w:p w14:paraId="3B315153" w14:textId="77777777" w:rsidR="00D83294" w:rsidRDefault="004A6355" w:rsidP="007A7A07">
      <w:pPr>
        <w:spacing w:after="0"/>
        <w:ind w:left="1439" w:right="2" w:hanging="830"/>
      </w:pPr>
      <w:r>
        <w:t xml:space="preserve"> 14.6. No   caso de  empate  entre   duas  ou  mais  propostas,  o  desempate  será  feito  com base   na  maior  pontuação  obtida no   critério  de  julgamento  (</w:t>
      </w:r>
      <w:r>
        <w:rPr>
          <w:b/>
        </w:rPr>
        <w:t xml:space="preserve">I </w:t>
      </w:r>
      <w:r>
        <w:t xml:space="preserve">).  Persistindo  a  situação   de  igualdade,  o desempate  será  feito  com   base na   maior  pontuação  obtida, </w:t>
      </w:r>
    </w:p>
    <w:p w14:paraId="6E09A6CE" w14:textId="77777777" w:rsidR="00D83294" w:rsidRDefault="004A6355" w:rsidP="007A7A07">
      <w:pPr>
        <w:ind w:left="1439" w:right="2"/>
      </w:pPr>
      <w:r>
        <w:t xml:space="preserve"> sucessivamente,  nos  critérios de   julgamento  (</w:t>
      </w:r>
      <w:r>
        <w:rPr>
          <w:b/>
        </w:rPr>
        <w:t xml:space="preserve"> II</w:t>
      </w:r>
      <w:r>
        <w:t xml:space="preserve"> ),  (</w:t>
      </w:r>
      <w:r>
        <w:rPr>
          <w:b/>
        </w:rPr>
        <w:t xml:space="preserve"> IV</w:t>
      </w:r>
      <w:r>
        <w:t xml:space="preserve"> )  e ( </w:t>
      </w:r>
      <w:r>
        <w:rPr>
          <w:b/>
        </w:rPr>
        <w:t xml:space="preserve">III </w:t>
      </w:r>
      <w:r>
        <w:t xml:space="preserve">).  Caso   essas  regras não   solucionem  o  empate,  será  considerada  vencedora  a  entidade  com  mais  tempo  de constituição e, em último caso, a questão será  decidida por sorteio. </w:t>
      </w:r>
      <w:r>
        <w:tab/>
        <w:t xml:space="preserve"> </w:t>
      </w:r>
    </w:p>
    <w:p w14:paraId="03511BE2" w14:textId="77777777" w:rsidR="00D83294" w:rsidRDefault="004A6355" w:rsidP="007A7A07">
      <w:pPr>
        <w:spacing w:after="357"/>
        <w:ind w:left="1439" w:right="2" w:hanging="830"/>
      </w:pPr>
      <w:r>
        <w:t xml:space="preserve"> 14.7. A   Comissão  de  Seleção emitirá  Parecer   Parcial  considerando  a  avaliação  técnica da  proposta  e,  após   emissão  dos  pareceres  técnico  e jurídico,  expedirá  Parecer  Conclusivo. </w:t>
      </w:r>
      <w:r>
        <w:tab/>
        <w:t xml:space="preserve"> </w:t>
      </w:r>
    </w:p>
    <w:p w14:paraId="59A76812" w14:textId="77777777" w:rsidR="00D83294" w:rsidRDefault="004A6355" w:rsidP="007A7A07">
      <w:pPr>
        <w:pStyle w:val="Ttulo2"/>
        <w:ind w:left="705" w:hanging="676"/>
      </w:pPr>
      <w:r>
        <w:lastRenderedPageBreak/>
        <w:t xml:space="preserve"> 15.  DO  PROCESSO  DE  VERIFICAÇÃO  DOS  DOCUMENTOS  E  QUALIFICAÇÃO  DAS  PROPOSTAS/PLANOS DE TRABALHO </w:t>
      </w:r>
    </w:p>
    <w:p w14:paraId="06505283" w14:textId="17390263" w:rsidR="00D83294" w:rsidRDefault="004A6355" w:rsidP="007A7A07">
      <w:pPr>
        <w:ind w:left="1439" w:right="2" w:hanging="830"/>
      </w:pPr>
      <w:r>
        <w:t xml:space="preserve"> 15.1.  Esse  processo  compreende  a  apuração  dos  requisitos  mínimos,  de  acordo  com  as  informações  apresentadas  </w:t>
      </w:r>
      <w:r w:rsidR="009257BE">
        <w:t>na</w:t>
      </w:r>
      <w:r>
        <w:t xml:space="preserve"> </w:t>
      </w:r>
      <w:r>
        <w:rPr>
          <w:b/>
        </w:rPr>
        <w:t xml:space="preserve"> </w:t>
      </w:r>
      <w:r w:rsidR="009257BE">
        <w:rPr>
          <w:b/>
        </w:rPr>
        <w:t>Identificação do Proponente</w:t>
      </w:r>
      <w:r>
        <w:rPr>
          <w:b/>
        </w:rPr>
        <w:t xml:space="preserve"> </w:t>
      </w:r>
      <w:r>
        <w:t xml:space="preserve"> </w:t>
      </w:r>
      <w:r w:rsidR="002A0E5A">
        <w:t xml:space="preserve"> </w:t>
      </w:r>
      <w:r>
        <w:t xml:space="preserve">(ANEXO  I)  e,  ainda,  a  verificação  dos  documentos  para </w:t>
      </w:r>
      <w:r>
        <w:rPr>
          <w:b/>
        </w:rPr>
        <w:t xml:space="preserve"> Habilitação  Jurídica  e  de  Regularidade  Fiscal </w:t>
      </w:r>
      <w:r>
        <w:t xml:space="preserve"> das  Proponentes. </w:t>
      </w:r>
    </w:p>
    <w:p w14:paraId="527A1925" w14:textId="77777777" w:rsidR="00D83294" w:rsidRDefault="004A6355" w:rsidP="007A7A07">
      <w:pPr>
        <w:ind w:left="2268" w:right="2" w:hanging="1114"/>
      </w:pPr>
      <w:r>
        <w:t xml:space="preserve"> 15.1.1.  O  processo de  verificação   se  dará  mediante  preenchimento  do arquivo   “Análise</w:t>
      </w:r>
      <w:r w:rsidR="006449E2">
        <w:t xml:space="preserve"> </w:t>
      </w:r>
      <w:r>
        <w:t xml:space="preserve">de  Documentos e Parecer Parcial”. </w:t>
      </w:r>
    </w:p>
    <w:p w14:paraId="31238B11" w14:textId="77777777" w:rsidR="00D83294" w:rsidRDefault="004A6355" w:rsidP="007A7A07">
      <w:pPr>
        <w:tabs>
          <w:tab w:val="center" w:pos="844"/>
          <w:tab w:val="center" w:pos="1079"/>
          <w:tab w:val="center" w:pos="5104"/>
        </w:tabs>
        <w:ind w:left="709" w:right="0" w:firstLine="0"/>
      </w:pPr>
      <w:r>
        <w:tab/>
        <w:t>15.2.</w:t>
      </w:r>
      <w:r w:rsidR="006449E2">
        <w:t xml:space="preserve"> </w:t>
      </w:r>
      <w:r>
        <w:t xml:space="preserve"> As Propostas deverão atender aos objetivos e valores dispostos neste Edital; </w:t>
      </w:r>
    </w:p>
    <w:p w14:paraId="3B9AD0DC" w14:textId="6DEF8633" w:rsidR="00D83294" w:rsidRDefault="006449E2" w:rsidP="007A7A07">
      <w:pPr>
        <w:ind w:left="1439" w:right="2" w:hanging="830"/>
      </w:pPr>
      <w:r>
        <w:t xml:space="preserve">  15.3.  A </w:t>
      </w:r>
      <w:r w:rsidR="004A6355" w:rsidRPr="00A86859">
        <w:t>Comissão  de   Seleção</w:t>
      </w:r>
      <w:r w:rsidR="00A73E1F" w:rsidRPr="00A86859">
        <w:t xml:space="preserve"> Interna</w:t>
      </w:r>
      <w:r w:rsidR="004A6355">
        <w:t xml:space="preserve">  deverá,  em  seu  Parecer, elencar   os  aspectos que  foram  considerados na Proposta para a sua qualificação. </w:t>
      </w:r>
      <w:r w:rsidR="004A6355">
        <w:tab/>
        <w:t xml:space="preserve"> </w:t>
      </w:r>
    </w:p>
    <w:p w14:paraId="3D4B5EEA" w14:textId="77777777" w:rsidR="00D83294" w:rsidRDefault="004A6355" w:rsidP="007A7A07">
      <w:pPr>
        <w:ind w:left="1439" w:right="2" w:hanging="830"/>
      </w:pPr>
      <w:r>
        <w:t xml:space="preserve"> </w:t>
      </w:r>
      <w:r w:rsidR="006449E2">
        <w:t xml:space="preserve">15.4. A </w:t>
      </w:r>
      <w:r>
        <w:t xml:space="preserve">Comissão  de Seleção  receberá  as  propostas   conforme  ordem  de  chegada.  Quando  qualificadas, após  pareceres  técnicos  e   jurídicos  favoráveis, e   publicação  de  Parecer Conclusivo,  serão  encaminhadas  sequencialmente   para  formalização da  parceria,  que   autoriza a   execução  dos  trabalhos.  Desse modo,   encerra-se o   recebimento  de  propostas  quando  concluído  o  prazo  previsto  no  Cronograma  do  Edital  ou  quando  esgotado o recurso atribuído ao Edital de Chamamento Público. </w:t>
      </w:r>
    </w:p>
    <w:p w14:paraId="0F850C6E" w14:textId="77777777" w:rsidR="00D83294" w:rsidRDefault="004A6355" w:rsidP="007A7A07">
      <w:pPr>
        <w:ind w:left="1439" w:right="2" w:hanging="830"/>
      </w:pPr>
      <w:r>
        <w:t xml:space="preserve"> 15.5.  Não  há  impedimento  para o   CAU/PB  selecionar as   organizações de  sociedade   civil  cuja  prestação  de  contas  de  processos  anteriores  ainda  não tenha   transitado  em  julgado. </w:t>
      </w:r>
    </w:p>
    <w:p w14:paraId="7E3A8E21" w14:textId="77777777" w:rsidR="00D83294" w:rsidRDefault="004A6355" w:rsidP="007A7A07">
      <w:pPr>
        <w:ind w:left="1439" w:right="2" w:hanging="830"/>
      </w:pPr>
      <w:r>
        <w:t xml:space="preserve">15.6.   O Plano   de  Trabalho,  a Habilitação  Jurídica   e  a  Comprovação  de  Regularidade  Fiscal  deverão  estar  de acordo   com  os  termos  e  as  condições  constantes  no Edital.   Para  fins  do  disposto  neste  item,  o  CAU/PB  poderá  solicitar  a  realização  de  ajustes  em quaisquer   destes  documentos,  concedendo  à  Proponente  o  prazo  de  05 ( cinco)  dias  úteis para efetuá-los. </w:t>
      </w:r>
    </w:p>
    <w:p w14:paraId="276B94B5" w14:textId="77777777" w:rsidR="00D83294" w:rsidRDefault="004A6355" w:rsidP="007A7A07">
      <w:pPr>
        <w:ind w:left="1439" w:right="2" w:hanging="830"/>
      </w:pPr>
      <w:r>
        <w:t xml:space="preserve">15.7.   A  Proponente  deverá  manter a   regularidade  da  documentação  de  Habilitação  Jurídica  e  a Comprovação  de  Regularidade  Fiscal   durante  o  período de  vigência  da   parceria,  além  de  responsabilizar-se  a  enviar ao   CAU/PB  nova documentação   em caso   de  vencimento ou alteração de algum dos documentos inicialmente apresentados. </w:t>
      </w:r>
    </w:p>
    <w:p w14:paraId="65349C06" w14:textId="77777777" w:rsidR="00D83294" w:rsidRDefault="004A6355" w:rsidP="007A7A07">
      <w:pPr>
        <w:ind w:left="1439" w:right="2" w:hanging="830"/>
      </w:pPr>
      <w:r>
        <w:t xml:space="preserve">15.8.   A  Comissão  de  Seleção  verificará  o  Plano  de Trabalho  com  o  cronograma   de  desembolso,  a  Habilitação  Jurídica e  a  verificação  da   Regularidade  Fiscal  das Proponentes conforme prazos e formas definidos no Cronograma do Edital. </w:t>
      </w:r>
      <w:r>
        <w:tab/>
        <w:t xml:space="preserve"> </w:t>
      </w:r>
    </w:p>
    <w:p w14:paraId="2E527BD4" w14:textId="77777777" w:rsidR="00D83294" w:rsidRDefault="004A6355" w:rsidP="007A7A07">
      <w:pPr>
        <w:ind w:left="2158" w:right="2" w:hanging="1004"/>
      </w:pPr>
      <w:r>
        <w:t xml:space="preserve"> 15.8.1. Os  prazos  poderão   ser  prorrogados  pelo  Presidente do   CAU/PB,  mediante  solicitação  fundamentada da Comissão de Seleção. </w:t>
      </w:r>
    </w:p>
    <w:p w14:paraId="2D655234" w14:textId="77777777" w:rsidR="00D83294" w:rsidRDefault="004A6355" w:rsidP="007A7A07">
      <w:pPr>
        <w:ind w:left="1439" w:right="2" w:hanging="830"/>
      </w:pPr>
      <w:r>
        <w:t xml:space="preserve"> 15.9.  Na  hipótese  de  ausência  de  inscrições  suficientes,  cujas  Proponentes  atendam  a  este  requisito,  a  critério  do  CAU/PB  serão analisadas   as  propostas  realizadas  por Proponentes que  comprovem menor tempo de existência. </w:t>
      </w:r>
      <w:r>
        <w:tab/>
        <w:t xml:space="preserve"> </w:t>
      </w:r>
    </w:p>
    <w:p w14:paraId="230F54BB" w14:textId="77777777" w:rsidR="00D83294" w:rsidRDefault="004A6355" w:rsidP="007A7A07">
      <w:pPr>
        <w:ind w:left="1439" w:right="2" w:hanging="952"/>
      </w:pPr>
      <w:r>
        <w:lastRenderedPageBreak/>
        <w:t xml:space="preserve"> 15.10. O   resultado final  da  seleção  ocorrerá  somente  após  a  análise  da  P</w:t>
      </w:r>
      <w:r w:rsidR="000E10A9">
        <w:t xml:space="preserve">roposta,   dos documentos  de  </w:t>
      </w:r>
      <w:r>
        <w:t xml:space="preserve">Habilitação  Jurídica  e de   Regularidade  Fiscal  e  dos  Pareceres  Técnicos e  Jurídicos. </w:t>
      </w:r>
    </w:p>
    <w:p w14:paraId="1E325A7C" w14:textId="77777777" w:rsidR="00D83294" w:rsidRDefault="004A6355" w:rsidP="007A7A07">
      <w:pPr>
        <w:ind w:left="2158" w:right="2" w:hanging="1126"/>
      </w:pPr>
      <w:r>
        <w:t xml:space="preserve">15.10.1.   Cabe à  Coordenação   da Comissão  de  Seleção   a  homologação  do  resultado,  mediante publicação do Parecer Conclusivo. </w:t>
      </w:r>
    </w:p>
    <w:p w14:paraId="0CC604A4" w14:textId="77777777" w:rsidR="00D83294" w:rsidRDefault="004A6355" w:rsidP="007A7A07">
      <w:pPr>
        <w:spacing w:after="370"/>
        <w:ind w:left="2158" w:right="2" w:hanging="1126"/>
      </w:pPr>
      <w:r>
        <w:t xml:space="preserve"> 15.10.2. </w:t>
      </w:r>
      <w:r>
        <w:tab/>
        <w:t xml:space="preserve"> As decisões </w:t>
      </w:r>
      <w:r>
        <w:tab/>
        <w:t xml:space="preserve">  serão  publicadas  no  sítio  do  Portal</w:t>
      </w:r>
      <w:r>
        <w:tab/>
        <w:t xml:space="preserve"> de </w:t>
      </w:r>
      <w:r>
        <w:tab/>
        <w:t xml:space="preserve">  Transparência do</w:t>
      </w:r>
      <w:r w:rsidR="000E10A9">
        <w:t xml:space="preserve">  CAU/PB</w:t>
      </w:r>
      <w:r>
        <w:t xml:space="preserve"> </w:t>
      </w:r>
      <w:hyperlink r:id="rId18">
        <w:r>
          <w:t>(</w:t>
        </w:r>
      </w:hyperlink>
      <w:r>
        <w:t xml:space="preserve"> </w:t>
      </w:r>
      <w:hyperlink r:id="rId19">
        <w:r>
          <w:rPr>
            <w:color w:val="1155CC"/>
            <w:u w:val="single" w:color="1155CC"/>
          </w:rPr>
          <w:t>www.caupb.gov.b</w:t>
        </w:r>
      </w:hyperlink>
      <w:hyperlink r:id="rId20">
        <w:r>
          <w:rPr>
            <w:color w:val="1155CC"/>
            <w:u w:val="single" w:color="1155CC"/>
          </w:rPr>
          <w:t>r</w:t>
        </w:r>
      </w:hyperlink>
      <w:r>
        <w:t xml:space="preserve">).  </w:t>
      </w:r>
    </w:p>
    <w:p w14:paraId="23ACC6E5" w14:textId="18FC526F" w:rsidR="00D83294" w:rsidRDefault="004A6355" w:rsidP="007A7A07">
      <w:pPr>
        <w:pStyle w:val="Ttulo2"/>
        <w:tabs>
          <w:tab w:val="center" w:pos="3819"/>
        </w:tabs>
        <w:ind w:left="0" w:firstLine="0"/>
      </w:pPr>
      <w:r>
        <w:t xml:space="preserve"> 16. </w:t>
      </w:r>
      <w:r>
        <w:tab/>
        <w:t xml:space="preserve"> DA INTERPOSIÇÃO DE RECURSO AO RESULTADO DA SELEÇÃO </w:t>
      </w:r>
      <w:r w:rsidR="00A73E1F" w:rsidRPr="00A86859">
        <w:t>INTERNA</w:t>
      </w:r>
    </w:p>
    <w:p w14:paraId="36570553" w14:textId="77777777" w:rsidR="00D83294" w:rsidRDefault="004A6355" w:rsidP="007A7A07">
      <w:pPr>
        <w:ind w:left="1439" w:right="2" w:hanging="830"/>
      </w:pPr>
      <w:r>
        <w:t xml:space="preserve"> 16.1.  A  Proponente  que  desejar  recorrer  contra  o  resultado  deverá  apresentar  recurso  administrativo,  nas  condições  definidas  no  Cronograma  deste  Edital,  ao  colegiado  que  a  proferiu,  sob  pena  de  preclusão  (artigo  59  da  Lei  n.º  9.784/1999).  O  Recurso  deve  ser encaminhado para o e-mail </w:t>
      </w:r>
      <w:r>
        <w:rPr>
          <w:b/>
        </w:rPr>
        <w:t xml:space="preserve"> </w:t>
      </w:r>
      <w:r w:rsidR="00D23B38">
        <w:rPr>
          <w:b/>
        </w:rPr>
        <w:t>gerenciageral@caupb.gov.br</w:t>
      </w:r>
      <w:r>
        <w:t xml:space="preserve">.  </w:t>
      </w:r>
    </w:p>
    <w:p w14:paraId="43741B97" w14:textId="77777777" w:rsidR="00D83294" w:rsidRDefault="004A6355" w:rsidP="007A7A07">
      <w:pPr>
        <w:ind w:left="1439" w:right="2" w:hanging="830"/>
      </w:pPr>
      <w:r>
        <w:t xml:space="preserve">16.2.   Não  será reconhecido   recurso interposto  fora   do  prazo  legal  ou  com fins   meramente  protelatórios,  assim entendidos   os  recursos  em  que  se constatar   ausência  de  argumentos  plausíveis e comprovação do alegado. </w:t>
      </w:r>
    </w:p>
    <w:p w14:paraId="585352E9" w14:textId="77777777" w:rsidR="00D83294" w:rsidRDefault="004A6355" w:rsidP="007A7A07">
      <w:pPr>
        <w:ind w:left="1439" w:right="2" w:hanging="830"/>
      </w:pPr>
      <w:r>
        <w:t xml:space="preserve"> 16.3.  Recebido  o  recurso,  a  Comissão  de  Seleção  poderá  reconsiderar  sua  decisão  no  prazo definido no Cronograma deste Edital </w:t>
      </w:r>
    </w:p>
    <w:p w14:paraId="0FA0936F" w14:textId="77777777" w:rsidR="00D83294" w:rsidRDefault="004A6355" w:rsidP="007A7A07">
      <w:pPr>
        <w:ind w:left="1439" w:right="2" w:hanging="830"/>
      </w:pPr>
      <w:r>
        <w:t xml:space="preserve"> 16.4.  A  motivação  deve ser   explícita,  clara  e  congruente,  podendo  consistir  em  declaração  de  concordância  com  fundamentos  de  anteriores  pareceres, informações,   decisões  ou  propostas, que, neste caso, serão parte integrante do ato decisório. </w:t>
      </w:r>
    </w:p>
    <w:p w14:paraId="1E44B430" w14:textId="77777777" w:rsidR="00D83294" w:rsidRDefault="000E10A9" w:rsidP="007A7A07">
      <w:pPr>
        <w:ind w:left="1439" w:right="2" w:hanging="830"/>
      </w:pPr>
      <w:r>
        <w:t xml:space="preserve"> 16.5.  Não  caberá novo</w:t>
      </w:r>
      <w:r w:rsidR="004A6355">
        <w:t xml:space="preserve"> recurso contra essa</w:t>
      </w:r>
      <w:r>
        <w:t xml:space="preserve"> </w:t>
      </w:r>
      <w:r w:rsidR="004A6355">
        <w:t>decisão.  O</w:t>
      </w:r>
      <w:r>
        <w:t xml:space="preserve"> </w:t>
      </w:r>
      <w:r w:rsidR="004A6355">
        <w:t xml:space="preserve"> acolhimento  de  recurso  implicará  invalidação apenas dos atos insuscetíveis de aproveitamento. </w:t>
      </w:r>
    </w:p>
    <w:p w14:paraId="4CC14504" w14:textId="77777777" w:rsidR="00D83294" w:rsidRDefault="004A6355" w:rsidP="007A7A07">
      <w:pPr>
        <w:ind w:left="1439" w:right="2" w:hanging="830"/>
      </w:pPr>
      <w:r>
        <w:t>16.6.</w:t>
      </w:r>
      <w:r w:rsidR="000E10A9">
        <w:t xml:space="preserve">  </w:t>
      </w:r>
      <w:r>
        <w:t xml:space="preserve"> O  resultado  do  julgamento do </w:t>
      </w:r>
      <w:r>
        <w:tab/>
        <w:t xml:space="preserve"> recurso  ou</w:t>
      </w:r>
      <w:r w:rsidR="000E10A9">
        <w:t xml:space="preserve"> </w:t>
      </w:r>
      <w:r>
        <w:t>o  transcurso  do prazo</w:t>
      </w:r>
      <w:r w:rsidR="000E10A9">
        <w:t xml:space="preserve"> </w:t>
      </w:r>
      <w:r>
        <w:t>sem sua</w:t>
      </w:r>
      <w:r w:rsidR="000E10A9">
        <w:t xml:space="preserve"> </w:t>
      </w:r>
      <w:r>
        <w:t xml:space="preserve">interposição serão publicados pelo CAU/PB em seu sítio do Portal da Transparência. </w:t>
      </w:r>
      <w:r>
        <w:tab/>
        <w:t xml:space="preserve"> </w:t>
      </w:r>
    </w:p>
    <w:p w14:paraId="2D819168" w14:textId="77777777" w:rsidR="00D83294" w:rsidRDefault="004A6355" w:rsidP="007A7A07">
      <w:pPr>
        <w:spacing w:after="372"/>
        <w:ind w:left="1439" w:right="2" w:hanging="830"/>
      </w:pPr>
      <w:r>
        <w:t>16.7.  A  homologação</w:t>
      </w:r>
      <w:r w:rsidR="000E10A9">
        <w:t xml:space="preserve"> </w:t>
      </w:r>
      <w:r>
        <w:t xml:space="preserve"> não  gera  direito  para  a organização  da  sociedade  civil   à  celebração  do Termo de Fomento. </w:t>
      </w:r>
    </w:p>
    <w:p w14:paraId="5EB40C49" w14:textId="77777777" w:rsidR="00D83294" w:rsidRDefault="004A6355" w:rsidP="007A7A07">
      <w:pPr>
        <w:pStyle w:val="Ttulo2"/>
        <w:tabs>
          <w:tab w:val="center" w:pos="4662"/>
        </w:tabs>
        <w:ind w:left="0" w:firstLine="0"/>
      </w:pPr>
      <w:r>
        <w:t xml:space="preserve"> 17. </w:t>
      </w:r>
      <w:r>
        <w:tab/>
        <w:t xml:space="preserve"> REQUISITOS E IMPEDIMENTOS PARA A CELEBRAÇÃO DO </w:t>
      </w:r>
      <w:bookmarkStart w:id="0" w:name="_GoBack"/>
      <w:r>
        <w:t>TERMO DE FOMENTO</w:t>
      </w:r>
      <w:bookmarkEnd w:id="0"/>
      <w:r>
        <w:t xml:space="preserve"> </w:t>
      </w:r>
    </w:p>
    <w:p w14:paraId="3C482DA1" w14:textId="77777777" w:rsidR="00D83294" w:rsidRDefault="004A6355" w:rsidP="007A7A07">
      <w:pPr>
        <w:ind w:left="1439" w:right="2" w:hanging="830"/>
      </w:pPr>
      <w:r>
        <w:t xml:space="preserve"> 17.1. </w:t>
      </w:r>
      <w:r>
        <w:tab/>
        <w:t xml:space="preserve"> Para  a  celebração  do </w:t>
      </w:r>
      <w:r>
        <w:rPr>
          <w:b/>
        </w:rPr>
        <w:t xml:space="preserve"> Termo  de Fomento </w:t>
      </w:r>
      <w:r>
        <w:t xml:space="preserve"> ,  a  Proponente  deverá  atender  aos  seguintes  requisitos: </w:t>
      </w:r>
    </w:p>
    <w:p w14:paraId="380B3C8D" w14:textId="77777777" w:rsidR="00D83294" w:rsidRDefault="004A6355" w:rsidP="007A7A07">
      <w:pPr>
        <w:numPr>
          <w:ilvl w:val="0"/>
          <w:numId w:val="14"/>
        </w:numPr>
        <w:ind w:right="2"/>
      </w:pPr>
      <w:r>
        <w:t xml:space="preserve">Ter  objetivos  estatutários  ou  regimentais  voltados  à  promoção  de  atividades  e  finalidades  de  relevância  pública  e  social,  bem  como  compatíveis  com  o  objeto  do  instrumento a ser  pactuado; </w:t>
      </w:r>
    </w:p>
    <w:p w14:paraId="221EB681" w14:textId="77777777" w:rsidR="00D83294" w:rsidRDefault="004A6355" w:rsidP="007A7A07">
      <w:pPr>
        <w:numPr>
          <w:ilvl w:val="0"/>
          <w:numId w:val="14"/>
        </w:numPr>
        <w:ind w:right="2"/>
      </w:pPr>
      <w:r>
        <w:lastRenderedPageBreak/>
        <w:t xml:space="preserve">Haver  previsão  expressa  de  que,  em  caso  de  dissolução  da  Proponente,  o  respectivo  patrimônio  líquido  será  transferido  para  outra  pessoa  jurídica  de  igual  natureza  que  preencha  os  requisitos  da  Lei  n.º  13.019/2014,  e  cujo  objeto  social  seja,  preferencialmente, o mesmo da  Proponente; </w:t>
      </w:r>
    </w:p>
    <w:p w14:paraId="0F4C3F12" w14:textId="77777777" w:rsidR="00D83294" w:rsidRDefault="004A6355" w:rsidP="007A7A07">
      <w:pPr>
        <w:numPr>
          <w:ilvl w:val="0"/>
          <w:numId w:val="14"/>
        </w:numPr>
        <w:ind w:right="2"/>
      </w:pPr>
      <w:r>
        <w:t xml:space="preserve">Manter  sua  escrituração  de  acordo  com  os  princípios  fundamentais  de  contabilidade e  com as Normas Brasileiras de Contabilidade. </w:t>
      </w:r>
    </w:p>
    <w:p w14:paraId="7B1C3E99" w14:textId="77777777" w:rsidR="00D83294" w:rsidRDefault="004A6355" w:rsidP="007A7A07">
      <w:pPr>
        <w:numPr>
          <w:ilvl w:val="0"/>
          <w:numId w:val="14"/>
        </w:numPr>
        <w:ind w:right="2"/>
      </w:pPr>
      <w:r>
        <w:t xml:space="preserve">Apresentar todos os documentos requeridos no Edital; </w:t>
      </w:r>
    </w:p>
    <w:p w14:paraId="059A621B" w14:textId="77777777" w:rsidR="00D83294" w:rsidRDefault="004A6355" w:rsidP="007A7A07">
      <w:pPr>
        <w:numPr>
          <w:ilvl w:val="0"/>
          <w:numId w:val="14"/>
        </w:numPr>
        <w:ind w:right="2"/>
      </w:pPr>
      <w:r>
        <w:t xml:space="preserve">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Proponente.  Não  será  necessária  a  demonstração  de  capacidade  prévia  instalada,  sendo  admitida  a  aquisição  de  bens  e  equipamentos  ou  a  realização  de  serviços  de  adequação  de  espaço  físico  para  o  cumprimento do objeto da parceria; </w:t>
      </w:r>
    </w:p>
    <w:p w14:paraId="0EB2564A" w14:textId="77777777" w:rsidR="00D83294" w:rsidRDefault="004A6355" w:rsidP="007A7A07">
      <w:pPr>
        <w:numPr>
          <w:ilvl w:val="0"/>
          <w:numId w:val="14"/>
        </w:numPr>
        <w:ind w:right="2"/>
      </w:pPr>
      <w:r>
        <w:t xml:space="preserve">Deter  capacidade  técnica  e  operacional  para  o  desenvolvimento  do  objeto  da  parceria  e  o  cumprimento  das  metas  estabelecidas,  a  ser  comprovada  na  forma  do  artigo  26,  caput,  inciso  III,  do  Decreto  n.º  8.726/2016;  sendo  admitida  a  contratação  de  profissionais,  a  aquisição  de  bens  e  equipamentos  ou  a  realização  de  serviços  de  adequação de espaço físico para o  cumprimento do objeto da parceria; </w:t>
      </w:r>
    </w:p>
    <w:p w14:paraId="6AA51C5D" w14:textId="77777777" w:rsidR="00D83294" w:rsidRDefault="004A6355" w:rsidP="007A7A07">
      <w:pPr>
        <w:numPr>
          <w:ilvl w:val="0"/>
          <w:numId w:val="14"/>
        </w:numPr>
        <w:spacing w:after="372"/>
        <w:ind w:right="2"/>
      </w:pPr>
      <w:r>
        <w:t xml:space="preserve">Apresentar  certidão  de  existência  jurídica  expedida  pelo  cartório  de  registro  civil  ou  cópia  do  estatuto  registrado  e  eventuais  alterações  ou,  tratando-se  de  sociedade  cooperativa,  certidão  simplificada  emitida  por  junta  comercial.  Ainda,  atender  demais  exigências previstas na legislação aplicada à sociedade cooperativa; </w:t>
      </w:r>
    </w:p>
    <w:p w14:paraId="5B3E0090" w14:textId="77777777" w:rsidR="00D83294" w:rsidRDefault="004A6355" w:rsidP="007A7A07">
      <w:pPr>
        <w:pStyle w:val="Ttulo2"/>
        <w:tabs>
          <w:tab w:val="center" w:pos="2131"/>
        </w:tabs>
        <w:ind w:left="0" w:firstLine="0"/>
      </w:pPr>
      <w:r>
        <w:t xml:space="preserve"> 18. </w:t>
      </w:r>
      <w:r>
        <w:tab/>
        <w:t xml:space="preserve"> DA PRESTAÇÃO DE CONTAS </w:t>
      </w:r>
    </w:p>
    <w:p w14:paraId="74A879EA" w14:textId="77777777" w:rsidR="00D83294" w:rsidRDefault="004A6355" w:rsidP="007A7A07">
      <w:pPr>
        <w:ind w:left="1439" w:right="2" w:hanging="830"/>
      </w:pPr>
      <w:r>
        <w:t xml:space="preserve"> 18.1.  Após  a  execução  do  Plano  de  Trabalho,  a  organização  da  sociedade  civil  prestará  contas da boa e regular aplicação dos recursos recebidos no prazo de 30 (trinta) dias. </w:t>
      </w:r>
    </w:p>
    <w:p w14:paraId="7E59EB88" w14:textId="77777777" w:rsidR="00D83294" w:rsidRDefault="004A6355" w:rsidP="007A7A07">
      <w:pPr>
        <w:ind w:left="1439" w:right="2" w:hanging="830"/>
      </w:pPr>
      <w:r>
        <w:t xml:space="preserve"> 18.2.  A  prestação  de  contas  será  endereçada  ao  Presidente  do  CAU/PB  e  conterá  os  seguintes documentos: </w:t>
      </w:r>
    </w:p>
    <w:p w14:paraId="5AADC567" w14:textId="77777777" w:rsidR="00D83294" w:rsidRDefault="004A6355" w:rsidP="007A7A07">
      <w:pPr>
        <w:numPr>
          <w:ilvl w:val="0"/>
          <w:numId w:val="15"/>
        </w:numPr>
        <w:ind w:right="2"/>
      </w:pPr>
      <w:r>
        <w:t xml:space="preserve">Ofício de encaminhamento da prestação de contas; </w:t>
      </w:r>
    </w:p>
    <w:p w14:paraId="577AEA24" w14:textId="77777777" w:rsidR="00D83294" w:rsidRDefault="004A6355" w:rsidP="007A7A07">
      <w:pPr>
        <w:numPr>
          <w:ilvl w:val="0"/>
          <w:numId w:val="15"/>
        </w:numPr>
        <w:ind w:right="2"/>
      </w:pPr>
      <w:r>
        <w:t xml:space="preserve">Relatório  Executivo-Financeiro  de  Prestação  de  Contas,  elaborado  pela  organização de  sociedade civil, assinado pelo seu representante legal, contendo: </w:t>
      </w:r>
    </w:p>
    <w:p w14:paraId="21754C3C" w14:textId="77777777" w:rsidR="00D83294" w:rsidRDefault="004A6355" w:rsidP="007A7A07">
      <w:pPr>
        <w:numPr>
          <w:ilvl w:val="1"/>
          <w:numId w:val="15"/>
        </w:numPr>
        <w:ind w:right="2"/>
      </w:pPr>
      <w:r>
        <w:t xml:space="preserve">A  descrição  das  despesas  e  receitas  efetivamente  realizadas  e  a  sua  vinculação  com  a  execução  do  objeto,  na  hipótese  de  descumprimento  de  metas e resultados estabelecidos no  Plano de Trabalho; </w:t>
      </w:r>
    </w:p>
    <w:p w14:paraId="2BFA5584" w14:textId="77777777" w:rsidR="00D83294" w:rsidRDefault="004A6355" w:rsidP="007A7A07">
      <w:pPr>
        <w:numPr>
          <w:ilvl w:val="1"/>
          <w:numId w:val="15"/>
        </w:numPr>
        <w:ind w:right="2"/>
      </w:pPr>
      <w:r>
        <w:lastRenderedPageBreak/>
        <w:t xml:space="preserve">A  demonstração  do  alcance  das  metas  referentes  ao  período  de  que  trata  a  prestação de  contas; </w:t>
      </w:r>
    </w:p>
    <w:p w14:paraId="3DAF79E0" w14:textId="77777777" w:rsidR="00D83294" w:rsidRDefault="004A6355" w:rsidP="007A7A07">
      <w:pPr>
        <w:numPr>
          <w:ilvl w:val="1"/>
          <w:numId w:val="15"/>
        </w:numPr>
        <w:ind w:right="2"/>
      </w:pPr>
      <w:r>
        <w:t xml:space="preserve">A descrição das ações desenvolvidas para o cumprimento  do objeto; </w:t>
      </w:r>
    </w:p>
    <w:p w14:paraId="0FE366D0" w14:textId="77777777" w:rsidR="00D83294" w:rsidRDefault="004A6355" w:rsidP="007A7A07">
      <w:pPr>
        <w:numPr>
          <w:ilvl w:val="1"/>
          <w:numId w:val="15"/>
        </w:numPr>
        <w:ind w:right="2"/>
      </w:pPr>
      <w:r>
        <w:t xml:space="preserve">O alcance dos resultados esperados; </w:t>
      </w:r>
    </w:p>
    <w:p w14:paraId="21EBE446" w14:textId="77777777" w:rsidR="00D83294" w:rsidRDefault="004A6355" w:rsidP="007A7A07">
      <w:pPr>
        <w:numPr>
          <w:ilvl w:val="1"/>
          <w:numId w:val="15"/>
        </w:numPr>
        <w:ind w:right="2"/>
      </w:pPr>
      <w:r>
        <w:t xml:space="preserve">Os  documentos  de  comprovação  do  cumprimento  do  objeto,  como  </w:t>
      </w:r>
      <w:proofErr w:type="spellStart"/>
      <w:r>
        <w:t>listas</w:t>
      </w:r>
      <w:proofErr w:type="spellEnd"/>
      <w:r>
        <w:t xml:space="preserve">  de  presença,  fotos,  vídeos,  entre  outros.  As  fotos  e  materiais  de  divulgação  do  objeto  do  Plano  de  Trabalho  deverão  ser  entregues  também  em  arquivo  digital. </w:t>
      </w:r>
    </w:p>
    <w:p w14:paraId="71A1196F" w14:textId="77777777" w:rsidR="00D83294" w:rsidRDefault="004A6355" w:rsidP="007A7A07">
      <w:pPr>
        <w:numPr>
          <w:ilvl w:val="1"/>
          <w:numId w:val="15"/>
        </w:numPr>
        <w:ind w:right="2"/>
      </w:pPr>
      <w:r>
        <w:t xml:space="preserve">Os documentos de comprovação do cumprimento da  contrapartida, e </w:t>
      </w:r>
    </w:p>
    <w:p w14:paraId="4C59A684" w14:textId="77777777" w:rsidR="00D83294" w:rsidRDefault="004A6355" w:rsidP="007A7A07">
      <w:pPr>
        <w:numPr>
          <w:ilvl w:val="1"/>
          <w:numId w:val="15"/>
        </w:numPr>
        <w:ind w:right="2"/>
      </w:pPr>
      <w:r>
        <w:t xml:space="preserve">Os elementos necessários para avaliação dos seguintes  itens: </w:t>
      </w:r>
    </w:p>
    <w:p w14:paraId="26560513" w14:textId="77777777" w:rsidR="000E10A9" w:rsidRPr="000E10A9" w:rsidRDefault="004A6355" w:rsidP="007A7A07">
      <w:pPr>
        <w:pStyle w:val="PargrafodaLista"/>
        <w:numPr>
          <w:ilvl w:val="1"/>
          <w:numId w:val="4"/>
        </w:numPr>
        <w:ind w:left="2835" w:right="2"/>
        <w:rPr>
          <w:b/>
        </w:rPr>
      </w:pPr>
      <w:r>
        <w:t xml:space="preserve">Impactos econômicos ou sociais das ações desenvolvidas; </w:t>
      </w:r>
      <w:r w:rsidRPr="000E10A9">
        <w:rPr>
          <w:b/>
        </w:rPr>
        <w:t xml:space="preserve"> </w:t>
      </w:r>
    </w:p>
    <w:p w14:paraId="4D0D6BB0" w14:textId="77777777" w:rsidR="00D83294" w:rsidRDefault="004A6355" w:rsidP="007A7A07">
      <w:pPr>
        <w:pStyle w:val="PargrafodaLista"/>
        <w:numPr>
          <w:ilvl w:val="1"/>
          <w:numId w:val="4"/>
        </w:numPr>
        <w:ind w:left="2835" w:right="2"/>
      </w:pPr>
      <w:r>
        <w:t xml:space="preserve">Grau  de  satisfação  do  público-alvo,  que  poderá  ser  indicado  por  meio  de  pesquisa  de  satisfação,  declaração  de  entidade  pública  ou  privada  local  e  declaração  do  conselho  de  política  pública  setorial,  entre  outros  e  da  possibilidade  de  sustentabilidade  das  ações  após  a  conclusão do objeto. </w:t>
      </w:r>
    </w:p>
    <w:p w14:paraId="16E92B36" w14:textId="77777777" w:rsidR="00D83294" w:rsidRPr="00F51480" w:rsidRDefault="004A6355" w:rsidP="007A7A07">
      <w:pPr>
        <w:numPr>
          <w:ilvl w:val="1"/>
          <w:numId w:val="15"/>
        </w:numPr>
        <w:ind w:right="2"/>
      </w:pPr>
      <w:r w:rsidRPr="00F51480">
        <w:t xml:space="preserve">Relação  e  comprovação  dos  pagamentos  efetuados,  tais  como  notas  fiscais, faturas,  recibos, fotos e vídeos, se for o caso; </w:t>
      </w:r>
    </w:p>
    <w:p w14:paraId="0A2B7C27" w14:textId="77777777" w:rsidR="000E10A9" w:rsidRPr="000E10A9" w:rsidRDefault="000E10A9" w:rsidP="007A7A07">
      <w:pPr>
        <w:pStyle w:val="PargrafodaLista"/>
        <w:numPr>
          <w:ilvl w:val="0"/>
          <w:numId w:val="30"/>
        </w:numPr>
        <w:spacing w:after="0" w:line="376" w:lineRule="auto"/>
        <w:ind w:right="146"/>
        <w:rPr>
          <w:b/>
        </w:rPr>
      </w:pPr>
      <w:r>
        <w:t>Execução da receita e da d</w:t>
      </w:r>
      <w:r w:rsidR="004A6355">
        <w:t xml:space="preserve">espesa; </w:t>
      </w:r>
      <w:r w:rsidR="004A6355" w:rsidRPr="000E10A9">
        <w:rPr>
          <w:b/>
        </w:rPr>
        <w:t xml:space="preserve"> </w:t>
      </w:r>
    </w:p>
    <w:p w14:paraId="4146AD39" w14:textId="77777777" w:rsidR="00D83294" w:rsidRDefault="004A6355" w:rsidP="007A7A07">
      <w:pPr>
        <w:pStyle w:val="PargrafodaLista"/>
        <w:numPr>
          <w:ilvl w:val="0"/>
          <w:numId w:val="30"/>
        </w:numPr>
        <w:spacing w:after="0" w:line="376" w:lineRule="auto"/>
        <w:ind w:right="3063"/>
      </w:pPr>
      <w:r>
        <w:t xml:space="preserve">Conciliação bancária; </w:t>
      </w:r>
    </w:p>
    <w:p w14:paraId="4F70415E" w14:textId="77777777" w:rsidR="00D83294" w:rsidRDefault="004A6355" w:rsidP="007A7A07">
      <w:pPr>
        <w:numPr>
          <w:ilvl w:val="2"/>
          <w:numId w:val="15"/>
        </w:numPr>
        <w:ind w:right="2"/>
      </w:pPr>
      <w:r>
        <w:t xml:space="preserve">Cópia  do  extrato  da  conta  bancária  específica  do  período  correspondente; </w:t>
      </w:r>
    </w:p>
    <w:p w14:paraId="20888EF0" w14:textId="77777777" w:rsidR="00D83294" w:rsidRDefault="004A6355" w:rsidP="007A7A07">
      <w:pPr>
        <w:numPr>
          <w:ilvl w:val="2"/>
          <w:numId w:val="15"/>
        </w:numPr>
        <w:ind w:right="2"/>
      </w:pPr>
      <w:r>
        <w:t xml:space="preserve">Comprovação da aplicação financeira dos recursos; </w:t>
      </w:r>
    </w:p>
    <w:p w14:paraId="31E05439" w14:textId="77777777" w:rsidR="00D83294" w:rsidRDefault="004A6355" w:rsidP="007A7A07">
      <w:pPr>
        <w:numPr>
          <w:ilvl w:val="0"/>
          <w:numId w:val="16"/>
        </w:numPr>
        <w:ind w:right="2"/>
      </w:pPr>
      <w:r>
        <w:t xml:space="preserve">Demais  documentos  que  comprovem  a  boa  e  regular  aplicação  dos  recursos, de acordo  com a legislação vigente, tais como: </w:t>
      </w:r>
    </w:p>
    <w:p w14:paraId="060BC9AE" w14:textId="77777777" w:rsidR="00D83294" w:rsidRDefault="004A6355" w:rsidP="007A7A07">
      <w:pPr>
        <w:numPr>
          <w:ilvl w:val="2"/>
          <w:numId w:val="17"/>
        </w:numPr>
        <w:ind w:right="2"/>
      </w:pPr>
      <w:r>
        <w:t xml:space="preserve">Comprovantes  das  transferências,  que  deverão  ser  procedidas  em  favor do credor da  despesa paga; </w:t>
      </w:r>
    </w:p>
    <w:p w14:paraId="0D44C9D1" w14:textId="77777777" w:rsidR="000E10A9" w:rsidRPr="000E10A9" w:rsidRDefault="004A6355" w:rsidP="007A7A07">
      <w:pPr>
        <w:numPr>
          <w:ilvl w:val="2"/>
          <w:numId w:val="17"/>
        </w:numPr>
        <w:spacing w:after="60" w:line="322" w:lineRule="auto"/>
        <w:ind w:right="2"/>
      </w:pPr>
      <w:r>
        <w:t xml:space="preserve">Cópias  dos  cheques  emitidos  nominalmente  em  favor  do  credor  da  despesa paga,  quando for o caso; </w:t>
      </w:r>
      <w:r>
        <w:rPr>
          <w:b/>
        </w:rPr>
        <w:t xml:space="preserve"> </w:t>
      </w:r>
    </w:p>
    <w:p w14:paraId="22FF13D8" w14:textId="77777777" w:rsidR="00D83294" w:rsidRDefault="004A6355" w:rsidP="007A7A07">
      <w:pPr>
        <w:numPr>
          <w:ilvl w:val="2"/>
          <w:numId w:val="17"/>
        </w:numPr>
        <w:spacing w:after="60" w:line="322" w:lineRule="auto"/>
        <w:ind w:right="2"/>
      </w:pPr>
      <w:r>
        <w:t xml:space="preserve">Guia de recolhimento do saldo dos recursos não  aplicados. </w:t>
      </w:r>
    </w:p>
    <w:p w14:paraId="2EA912CC" w14:textId="77777777" w:rsidR="00D83294" w:rsidRDefault="004A6355" w:rsidP="007A7A07">
      <w:pPr>
        <w:ind w:left="2878" w:right="2"/>
      </w:pPr>
      <w:r>
        <w:rPr>
          <w:b/>
        </w:rPr>
        <w:t xml:space="preserve"> </w:t>
      </w:r>
      <w:proofErr w:type="spellStart"/>
      <w:r>
        <w:rPr>
          <w:b/>
        </w:rPr>
        <w:t>iv</w:t>
      </w:r>
      <w:proofErr w:type="spellEnd"/>
      <w:r>
        <w:rPr>
          <w:b/>
        </w:rPr>
        <w:t xml:space="preserve">. </w:t>
      </w:r>
      <w:r>
        <w:t xml:space="preserve"> Guia  de  recolhimento  de  Imposto  Sobre  Serviços  (ISS),  em  decorrência de retenção obrigatória, quando for o caso. </w:t>
      </w:r>
    </w:p>
    <w:p w14:paraId="2742E0F8" w14:textId="77777777" w:rsidR="00D83294" w:rsidRDefault="004A6355" w:rsidP="007A7A07">
      <w:pPr>
        <w:numPr>
          <w:ilvl w:val="0"/>
          <w:numId w:val="16"/>
        </w:numPr>
        <w:ind w:right="2"/>
      </w:pPr>
      <w:r>
        <w:t xml:space="preserve">Outros  documentos,  conforme  a  necessidade  e  o  objeto  do  fomento  concedido. </w:t>
      </w:r>
    </w:p>
    <w:p w14:paraId="4BBD6129" w14:textId="77777777" w:rsidR="00D83294" w:rsidRDefault="004A6355" w:rsidP="007A7A07">
      <w:pPr>
        <w:tabs>
          <w:tab w:val="center" w:pos="844"/>
          <w:tab w:val="center" w:pos="3143"/>
        </w:tabs>
        <w:ind w:right="0" w:firstLine="0"/>
      </w:pPr>
      <w:r>
        <w:lastRenderedPageBreak/>
        <w:tab/>
        <w:t xml:space="preserve"> 18.3. </w:t>
      </w:r>
      <w:r>
        <w:tab/>
        <w:t xml:space="preserve"> O comprovante de despesa, deverá: </w:t>
      </w:r>
    </w:p>
    <w:p w14:paraId="3B453E48" w14:textId="77777777" w:rsidR="00D83294" w:rsidRDefault="004A6355" w:rsidP="007A7A07">
      <w:pPr>
        <w:numPr>
          <w:ilvl w:val="0"/>
          <w:numId w:val="18"/>
        </w:numPr>
        <w:ind w:right="2"/>
      </w:pPr>
      <w:r>
        <w:t xml:space="preserve">Estar  preenchido  com  clareza  e  sem  rasuras  capazes  de  comprometer  sua  credibilidade  e  ainda  deverá  trazer  anotado  o  número  da  parceria  e  conter  a  seguinte  inscrição:  “certifico  ou  declaro  o  recebimento  das  mercadorias/serviços”; </w:t>
      </w:r>
    </w:p>
    <w:p w14:paraId="6A732892" w14:textId="77777777" w:rsidR="00D83294" w:rsidRDefault="004A6355" w:rsidP="007A7A07">
      <w:pPr>
        <w:numPr>
          <w:ilvl w:val="0"/>
          <w:numId w:val="18"/>
        </w:numPr>
        <w:ind w:right="2"/>
      </w:pPr>
      <w:r>
        <w:t xml:space="preserve">Se  referente  a  gastos  com  publicidade  escrita,  estar  acompanhado  de  cópia  do  material  divulgado;  se  radiofônica  ou  televisiva,  de  gravação  da  peça  veiculada; </w:t>
      </w:r>
    </w:p>
    <w:p w14:paraId="5EE84FC4" w14:textId="77777777" w:rsidR="00D83294" w:rsidRDefault="004A6355" w:rsidP="007A7A07">
      <w:pPr>
        <w:numPr>
          <w:ilvl w:val="0"/>
          <w:numId w:val="18"/>
        </w:numPr>
        <w:ind w:right="2"/>
      </w:pPr>
      <w:r>
        <w:t xml:space="preserve">Demonstrar  a  retenção  do  Imposto  Sobre  Serviços  (ISS),  em  nota  fiscal  de  prestação de  serviços, de profissional autônomo, quando for o caso; </w:t>
      </w:r>
    </w:p>
    <w:p w14:paraId="1148ED2B" w14:textId="77777777" w:rsidR="00D83294" w:rsidRDefault="004A6355" w:rsidP="007A7A07">
      <w:pPr>
        <w:numPr>
          <w:ilvl w:val="0"/>
          <w:numId w:val="18"/>
        </w:numPr>
        <w:ind w:right="2"/>
      </w:pPr>
      <w:r>
        <w:t xml:space="preserve">No  caso  de  pagamento  de  pessoal,  deverá  ser  apresentada,  na  prestação  de  contas  da  primeira  parcela,  uma  cópia  do  registro  funcional  de  cada  funcionário remunerado com  recursos do fomento; </w:t>
      </w:r>
    </w:p>
    <w:p w14:paraId="35BF51BB" w14:textId="77777777" w:rsidR="00D83294" w:rsidRDefault="004A6355" w:rsidP="007A7A07">
      <w:pPr>
        <w:numPr>
          <w:ilvl w:val="0"/>
          <w:numId w:val="18"/>
        </w:numPr>
        <w:ind w:right="2"/>
      </w:pPr>
      <w:r>
        <w:t xml:space="preserve">Apresentar  demonstrativo  detalhando  as  horas  técnicas  efetivamente  realizadas  nos  serviços  de  assistência,  de  capacitação  e  promoção  de  seminários e congêneres; </w:t>
      </w:r>
    </w:p>
    <w:p w14:paraId="07AF34E0" w14:textId="77777777" w:rsidR="00D83294" w:rsidRDefault="004A6355" w:rsidP="007A7A07">
      <w:pPr>
        <w:numPr>
          <w:ilvl w:val="0"/>
          <w:numId w:val="18"/>
        </w:numPr>
        <w:ind w:right="2"/>
      </w:pPr>
      <w:r>
        <w:t xml:space="preserve">Em  caso  de  serviços  de  adequação  de  espaço  físico,  que  caracterize  serviços de   engenharia  ou  arquitetura,  apresentar  a  Anotação  de  Responsabilidade  Técnica  (ART)  ou Registro   de  Responsabilidade  Técnica  (RRT),  de  execução  e  de  fiscalização  e  laudo  técnico de   cada  medição,  assinado pelo profissional responsável; e </w:t>
      </w:r>
    </w:p>
    <w:p w14:paraId="678C22DB" w14:textId="77777777" w:rsidR="00D83294" w:rsidRDefault="004A6355" w:rsidP="007A7A07">
      <w:pPr>
        <w:numPr>
          <w:ilvl w:val="0"/>
          <w:numId w:val="18"/>
        </w:numPr>
        <w:ind w:right="2"/>
      </w:pPr>
      <w:r>
        <w:t xml:space="preserve">Em  caso  de  contratação  de  serviços  técnicos  regulamentados  pelo  Conselho  de  Fiscalização  Profissional,  deverá  ser  apresentado o   comprovante de habilitação no respectivo  conselho. </w:t>
      </w:r>
    </w:p>
    <w:p w14:paraId="06220F38" w14:textId="77777777" w:rsidR="00D83294" w:rsidRDefault="004A6355" w:rsidP="007A7A07">
      <w:pPr>
        <w:tabs>
          <w:tab w:val="center" w:pos="844"/>
          <w:tab w:val="center" w:pos="3179"/>
        </w:tabs>
        <w:ind w:right="0" w:firstLine="0"/>
      </w:pPr>
      <w:r>
        <w:tab/>
        <w:t xml:space="preserve"> 18.4. </w:t>
      </w:r>
      <w:r>
        <w:tab/>
        <w:t xml:space="preserve"> As notas fiscais deverão especificar: </w:t>
      </w:r>
    </w:p>
    <w:p w14:paraId="63AE7AC8" w14:textId="77777777" w:rsidR="00D83294" w:rsidRDefault="004A6355" w:rsidP="007A7A07">
      <w:pPr>
        <w:numPr>
          <w:ilvl w:val="0"/>
          <w:numId w:val="19"/>
        </w:numPr>
        <w:ind w:right="2"/>
      </w:pPr>
      <w:r>
        <w:t xml:space="preserve">O nome, o endereço e o CNPJ da organização da sociedade  civil; </w:t>
      </w:r>
    </w:p>
    <w:p w14:paraId="37A947A3" w14:textId="77777777" w:rsidR="00D83294" w:rsidRDefault="004A6355" w:rsidP="007A7A07">
      <w:pPr>
        <w:numPr>
          <w:ilvl w:val="0"/>
          <w:numId w:val="19"/>
        </w:numPr>
        <w:ind w:right="2"/>
      </w:pPr>
      <w:r>
        <w:t xml:space="preserve">A  data  de  realização  da  despesa  e  a  discriminação  precisa  de  seu  objeto,  com  identificação  de dados, como tipo do material, quantidade, marca e modelo; e </w:t>
      </w:r>
    </w:p>
    <w:p w14:paraId="742E1127" w14:textId="77777777" w:rsidR="00D83294" w:rsidRDefault="004A6355" w:rsidP="007A7A07">
      <w:pPr>
        <w:numPr>
          <w:ilvl w:val="0"/>
          <w:numId w:val="19"/>
        </w:numPr>
        <w:ind w:right="2"/>
      </w:pPr>
      <w:r>
        <w:t xml:space="preserve">Os valores unitários e total das mercadorias adquiridas. </w:t>
      </w:r>
    </w:p>
    <w:p w14:paraId="2654F650" w14:textId="6A57A05C" w:rsidR="00D83294" w:rsidRDefault="004A6355" w:rsidP="007A7A07">
      <w:pPr>
        <w:numPr>
          <w:ilvl w:val="1"/>
          <w:numId w:val="20"/>
        </w:numPr>
        <w:ind w:right="2" w:hanging="830"/>
      </w:pPr>
      <w:r>
        <w:t>A  comprovação  de  despesa  com  serviços prestados   por  pessoa  jurídica ou</w:t>
      </w:r>
      <w:r w:rsidR="00F51480">
        <w:t xml:space="preserve"> </w:t>
      </w:r>
      <w:r>
        <w:t xml:space="preserve"> compras será  feita  mediante   apresentação  da  nota  fiscal  correspondente,  em  primeira via,   não  sendo  aceito  recibo,  salvo quando  dispensadas   por  lei  de  sua  emissão,  com  indicação expressa do  enquadramento de um dos itens no Plano de Trabalho. </w:t>
      </w:r>
    </w:p>
    <w:p w14:paraId="247A1954" w14:textId="77777777" w:rsidR="00D83294" w:rsidRDefault="004A6355" w:rsidP="007A7A07">
      <w:pPr>
        <w:numPr>
          <w:ilvl w:val="1"/>
          <w:numId w:val="20"/>
        </w:numPr>
        <w:ind w:right="2" w:hanging="830"/>
      </w:pPr>
      <w:r>
        <w:t xml:space="preserve">As prestações de contas serão avaliadas: </w:t>
      </w:r>
    </w:p>
    <w:p w14:paraId="7B2A832E" w14:textId="77777777" w:rsidR="00D83294" w:rsidRDefault="004A6355" w:rsidP="007A7A07">
      <w:pPr>
        <w:numPr>
          <w:ilvl w:val="0"/>
          <w:numId w:val="21"/>
        </w:numPr>
        <w:ind w:right="2"/>
      </w:pPr>
      <w:r>
        <w:lastRenderedPageBreak/>
        <w:t xml:space="preserve">Regulares, quando   expressarem,  de  forma  clara  e  objetiva,  o  cumprimento  dos  objetivos  e metas estabelecidos no Plano de Trabalho; </w:t>
      </w:r>
    </w:p>
    <w:p w14:paraId="28F7697C" w14:textId="77777777" w:rsidR="00D83294" w:rsidRDefault="004A6355" w:rsidP="007A7A07">
      <w:pPr>
        <w:numPr>
          <w:ilvl w:val="0"/>
          <w:numId w:val="21"/>
        </w:numPr>
        <w:ind w:right="2"/>
      </w:pPr>
      <w:r>
        <w:t xml:space="preserve">Regulares  com  ressalva,  quando  evidenciarem  impropriedade  ou  qualquer  outra  falta de  natureza formal que não resulte em </w:t>
      </w:r>
      <w:proofErr w:type="spellStart"/>
      <w:r>
        <w:t>dano</w:t>
      </w:r>
      <w:proofErr w:type="spellEnd"/>
      <w:r>
        <w:t xml:space="preserve"> ao erário; </w:t>
      </w:r>
    </w:p>
    <w:p w14:paraId="36967192" w14:textId="77777777" w:rsidR="00D83294" w:rsidRDefault="004A6355" w:rsidP="007A7A07">
      <w:pPr>
        <w:numPr>
          <w:ilvl w:val="0"/>
          <w:numId w:val="21"/>
        </w:numPr>
        <w:ind w:right="2"/>
      </w:pPr>
      <w:r>
        <w:t xml:space="preserve">Irregulares, quando comprovada qualquer das seguintes  circunstâncias: </w:t>
      </w:r>
    </w:p>
    <w:p w14:paraId="448FB85E" w14:textId="77777777" w:rsidR="00D83294" w:rsidRDefault="004A6355" w:rsidP="007A7A07">
      <w:pPr>
        <w:numPr>
          <w:ilvl w:val="2"/>
          <w:numId w:val="22"/>
        </w:numPr>
        <w:ind w:right="2" w:hanging="331"/>
      </w:pPr>
      <w:r>
        <w:t xml:space="preserve">Omissão no dever de prestar contas; </w:t>
      </w:r>
    </w:p>
    <w:p w14:paraId="58A0CF2E" w14:textId="77777777" w:rsidR="00D83294" w:rsidRDefault="004A6355" w:rsidP="007A7A07">
      <w:pPr>
        <w:numPr>
          <w:ilvl w:val="2"/>
          <w:numId w:val="22"/>
        </w:numPr>
        <w:spacing w:after="0"/>
        <w:ind w:left="2410" w:right="2" w:hanging="331"/>
      </w:pPr>
      <w:r>
        <w:t xml:space="preserve">Descumprimento  injustificado  dos objetivos  </w:t>
      </w:r>
      <w:r w:rsidR="000E10A9">
        <w:t xml:space="preserve">e  metas  estabelecidos  no </w:t>
      </w:r>
      <w:r>
        <w:t xml:space="preserve"> Plano de Trabalho; </w:t>
      </w:r>
    </w:p>
    <w:p w14:paraId="2C38FA2B" w14:textId="77777777" w:rsidR="00D83294" w:rsidRDefault="004A6355" w:rsidP="007A7A07">
      <w:pPr>
        <w:numPr>
          <w:ilvl w:val="2"/>
          <w:numId w:val="22"/>
        </w:numPr>
        <w:ind w:right="2" w:hanging="331"/>
      </w:pPr>
      <w:proofErr w:type="spellStart"/>
      <w:r>
        <w:t>Dano</w:t>
      </w:r>
      <w:proofErr w:type="spellEnd"/>
      <w:r>
        <w:t xml:space="preserve"> ao erário decorrente de ato de gestão ilegítimo  ou antieconômico; </w:t>
      </w:r>
    </w:p>
    <w:p w14:paraId="20E21106" w14:textId="77777777" w:rsidR="00D83294" w:rsidRDefault="004A6355" w:rsidP="007A7A07">
      <w:pPr>
        <w:numPr>
          <w:ilvl w:val="2"/>
          <w:numId w:val="22"/>
        </w:numPr>
        <w:ind w:right="2" w:hanging="331"/>
      </w:pPr>
      <w:r>
        <w:t xml:space="preserve">Desfalque ou desvio de dinheiro, bens ou valores  públicos. </w:t>
      </w:r>
    </w:p>
    <w:p w14:paraId="1BB3DF02" w14:textId="77777777" w:rsidR="00D83294" w:rsidRPr="00886AF4" w:rsidRDefault="004A6355" w:rsidP="007A7A07">
      <w:pPr>
        <w:numPr>
          <w:ilvl w:val="1"/>
          <w:numId w:val="23"/>
        </w:numPr>
        <w:ind w:right="2" w:hanging="830"/>
      </w:pPr>
      <w:r w:rsidRPr="00886AF4">
        <w:t xml:space="preserve">A   decisão  sobre  a  prestação  de  contas  final  caberá  ao  Presidente  no  CAU/PB,  na  medida  em que   é a  autoridade   responsável  por  celebrar  o Termo  de   Fomento,  ou  ao  agente designado  por ele, vedada a subdelegação. </w:t>
      </w:r>
    </w:p>
    <w:p w14:paraId="5E7F22AC" w14:textId="77777777" w:rsidR="00D83294" w:rsidRDefault="004A6355" w:rsidP="007A7A07">
      <w:pPr>
        <w:numPr>
          <w:ilvl w:val="1"/>
          <w:numId w:val="23"/>
        </w:numPr>
        <w:ind w:right="2" w:hanging="830"/>
      </w:pPr>
      <w:r>
        <w:t xml:space="preserve">A   organização  da  sociedade  civil  será notificada   da  decisão  acerca  das  contas  e  poderá: </w:t>
      </w:r>
    </w:p>
    <w:p w14:paraId="4E61FD3F" w14:textId="5445E90F" w:rsidR="00D83294" w:rsidRPr="00957049" w:rsidRDefault="00886AF4" w:rsidP="00886AF4">
      <w:pPr>
        <w:numPr>
          <w:ilvl w:val="0"/>
          <w:numId w:val="24"/>
        </w:numPr>
        <w:ind w:right="2"/>
      </w:pPr>
      <w:r w:rsidRPr="00957049">
        <w:t>Apresentar recurso à autoridade que a proferiu, no prazo de 30 (trinta) dias, a qual, se não reconsiderar a decisão no prazo de 30 (trinta) dias, encaminhará o recurso ao Conselho Diretor do CAU/PB, para decisão final no prazo de 30 (trinta) dias</w:t>
      </w:r>
      <w:r w:rsidR="004A6355" w:rsidRPr="00957049">
        <w:t xml:space="preserve">; ou </w:t>
      </w:r>
    </w:p>
    <w:p w14:paraId="203D2EC8" w14:textId="77777777" w:rsidR="00D83294" w:rsidRDefault="004A6355" w:rsidP="007A7A07">
      <w:pPr>
        <w:numPr>
          <w:ilvl w:val="0"/>
          <w:numId w:val="24"/>
        </w:numPr>
        <w:ind w:right="2"/>
      </w:pPr>
      <w:r>
        <w:t xml:space="preserve">Sanar  a  irregularidade   ou  cumprir  a  obrigação,  no prazo   de  45  (quarenta  e cinco)   dias,  prorrogável, no máximo, por igual período. </w:t>
      </w:r>
    </w:p>
    <w:p w14:paraId="663880C7" w14:textId="77777777" w:rsidR="00D83294" w:rsidRDefault="004A6355" w:rsidP="007A7A07">
      <w:pPr>
        <w:ind w:left="1439" w:right="2" w:hanging="830"/>
      </w:pPr>
      <w:r>
        <w:t xml:space="preserve">18.9.   Constituirá  irregularidade grave,  lesiva  ao  erário,  sujeitando  a  organização  da   sociedade  civil ou o seu responsável à tomada de contas especial: </w:t>
      </w:r>
    </w:p>
    <w:p w14:paraId="20B12F22" w14:textId="77777777" w:rsidR="000E10A9" w:rsidRDefault="004A6355" w:rsidP="007A7A07">
      <w:pPr>
        <w:spacing w:after="0" w:line="376" w:lineRule="auto"/>
        <w:ind w:left="1439" w:right="2110"/>
      </w:pPr>
      <w:r>
        <w:rPr>
          <w:b/>
        </w:rPr>
        <w:t xml:space="preserve"> I. </w:t>
      </w:r>
      <w:r>
        <w:t xml:space="preserve"> Deixar de prestar contas ao CAU/PB no prazo estabelecido; </w:t>
      </w:r>
    </w:p>
    <w:p w14:paraId="4869E0DA" w14:textId="77777777" w:rsidR="00D83294" w:rsidRDefault="004A6355" w:rsidP="007A7A07">
      <w:pPr>
        <w:spacing w:after="0" w:line="376" w:lineRule="auto"/>
        <w:ind w:left="1439" w:right="2110"/>
      </w:pPr>
      <w:r>
        <w:rPr>
          <w:b/>
        </w:rPr>
        <w:t xml:space="preserve"> II. </w:t>
      </w:r>
      <w:r>
        <w:t xml:space="preserve"> Não restituir ao CAU/PB: </w:t>
      </w:r>
    </w:p>
    <w:p w14:paraId="20E3D933" w14:textId="77777777" w:rsidR="00D83294" w:rsidRDefault="004A6355" w:rsidP="007A7A07">
      <w:pPr>
        <w:numPr>
          <w:ilvl w:val="0"/>
          <w:numId w:val="25"/>
        </w:numPr>
        <w:ind w:right="2"/>
      </w:pPr>
      <w:r>
        <w:t xml:space="preserve">Os  recursos  financeiros não   aplicados  ou aplicados  irregularmente   na  execução do  fomento ou na execução de seu objeto; ou </w:t>
      </w:r>
    </w:p>
    <w:p w14:paraId="60103060" w14:textId="77777777" w:rsidR="00D83294" w:rsidRDefault="004A6355" w:rsidP="007A7A07">
      <w:pPr>
        <w:numPr>
          <w:ilvl w:val="0"/>
          <w:numId w:val="25"/>
        </w:numPr>
        <w:ind w:right="2"/>
      </w:pPr>
      <w:r>
        <w:t xml:space="preserve">Os  equipamentos,  veículos  ou  máquinas  cedidos,  na  forma  e  para  fins  previstos na  legislação vigente, uma vez encerrado o motivo da cessão. </w:t>
      </w:r>
    </w:p>
    <w:p w14:paraId="681CAB37" w14:textId="77777777" w:rsidR="00D83294" w:rsidRDefault="004A6355" w:rsidP="007A7A07">
      <w:pPr>
        <w:ind w:left="1439" w:right="2"/>
      </w:pPr>
      <w:r>
        <w:rPr>
          <w:b/>
        </w:rPr>
        <w:t xml:space="preserve"> III. </w:t>
      </w:r>
      <w:r>
        <w:t xml:space="preserve"> Destinar recursos provenientes do fomento para: </w:t>
      </w:r>
    </w:p>
    <w:p w14:paraId="2EE13CBD" w14:textId="77777777" w:rsidR="00D83294" w:rsidRDefault="004A6355" w:rsidP="007A7A07">
      <w:pPr>
        <w:numPr>
          <w:ilvl w:val="2"/>
          <w:numId w:val="28"/>
        </w:numPr>
        <w:ind w:right="2"/>
      </w:pPr>
      <w:r>
        <w:t xml:space="preserve">Gastos  cuja  competência  de  realização  seja  anterior  à  data  inicial  do  Termo  de  Fomento,  ou  posterior  ao  prazo  final  de  execução  do  objeto  da  parceria. </w:t>
      </w:r>
    </w:p>
    <w:p w14:paraId="11E3FDBF" w14:textId="77777777" w:rsidR="00D83294" w:rsidRDefault="004A6355" w:rsidP="007A7A07">
      <w:pPr>
        <w:numPr>
          <w:ilvl w:val="2"/>
          <w:numId w:val="28"/>
        </w:numPr>
        <w:ind w:right="2"/>
      </w:pPr>
      <w:r>
        <w:t xml:space="preserve">Finalidade alheia ao objeto da parceria. </w:t>
      </w:r>
    </w:p>
    <w:p w14:paraId="728A4F1E" w14:textId="77777777" w:rsidR="00D83294" w:rsidRDefault="004A6355" w:rsidP="007A7A07">
      <w:pPr>
        <w:ind w:left="2158" w:right="2" w:hanging="1004"/>
      </w:pPr>
      <w:r>
        <w:t xml:space="preserve"> 18.9.1.  O recolhimento   ao  erário  dos  recursos  em  razão de   ocorrência  de  situação  prevista  nesse  item  dispensa  a  instauração  de tomada   de  contas  especial,  mas  não </w:t>
      </w:r>
      <w:r>
        <w:lastRenderedPageBreak/>
        <w:t xml:space="preserve">desonera   o  titular  da  organização  da  possibilidade  de  responder  por eventual ato ilícito cometido. </w:t>
      </w:r>
      <w:r>
        <w:tab/>
        <w:t xml:space="preserve"> </w:t>
      </w:r>
    </w:p>
    <w:p w14:paraId="3F0A1DB8" w14:textId="77777777" w:rsidR="00D83294" w:rsidRDefault="004A6355" w:rsidP="007A7A07">
      <w:pPr>
        <w:ind w:left="1439" w:right="2" w:hanging="952"/>
      </w:pPr>
      <w:r>
        <w:t xml:space="preserve"> 18.10.  O  CAU/PB  apreciará  a prestação   de  contas  no prazo   de  até  15  (quinze)  dias,  contado  da data  do   seu  recebimento  ou  do  cumprimento  de  diligência  por  ela  determinada, prorrogável, justificadamente, por igual período. </w:t>
      </w:r>
      <w:r>
        <w:tab/>
        <w:t xml:space="preserve"> </w:t>
      </w:r>
    </w:p>
    <w:p w14:paraId="0223045F" w14:textId="4516A077" w:rsidR="00D83294" w:rsidRDefault="004A6355" w:rsidP="007A7A07">
      <w:pPr>
        <w:spacing w:after="118" w:line="271" w:lineRule="auto"/>
        <w:ind w:left="2153" w:right="-10" w:hanging="1136"/>
      </w:pPr>
      <w:r>
        <w:t xml:space="preserve"> 18.10.1. </w:t>
      </w:r>
      <w:r>
        <w:tab/>
        <w:t xml:space="preserve"> A  definição  do  prazo  para apreciação   da  prestação  </w:t>
      </w:r>
      <w:r w:rsidR="00886AF4">
        <w:t xml:space="preserve">de  contas  será  estabelecida </w:t>
      </w:r>
      <w:r>
        <w:t xml:space="preserve"> pelo </w:t>
      </w:r>
      <w:r>
        <w:tab/>
        <w:t xml:space="preserve"> CAU/PB, </w:t>
      </w:r>
      <w:r>
        <w:tab/>
        <w:t xml:space="preserve"> fundamentalmente, </w:t>
      </w:r>
      <w:r>
        <w:tab/>
        <w:t xml:space="preserve"> de  acordo  com  a  complexidade do objeto do Chamamento  Público. </w:t>
      </w:r>
    </w:p>
    <w:p w14:paraId="146B72E7" w14:textId="77777777" w:rsidR="00D83294" w:rsidRDefault="004A6355" w:rsidP="007A7A07">
      <w:pPr>
        <w:ind w:left="2158" w:right="2" w:hanging="1126"/>
      </w:pPr>
      <w:r>
        <w:t xml:space="preserve"> 18.10.2.  O  prazo  para  apreciar  a  prestação  de  contas  final poderá   ser  prorrogado,  no  máximo,  por  igual  período, desde   que devidamente  justificado   e  não  ultrapasse o prazo máximo de 30  (trinta) dias. </w:t>
      </w:r>
    </w:p>
    <w:p w14:paraId="7923B8D8" w14:textId="77777777" w:rsidR="00D83294" w:rsidRDefault="004A6355" w:rsidP="007A7A07">
      <w:pPr>
        <w:ind w:left="2158" w:right="2" w:hanging="1126"/>
      </w:pPr>
      <w:r>
        <w:t xml:space="preserve">18.10.3.   O  transcurso  do  prazo  definido  nos  termos  do  caput,  sem  que as   contas  tenham sido  apreciadas: </w:t>
      </w:r>
    </w:p>
    <w:p w14:paraId="6A773EC3" w14:textId="77777777" w:rsidR="00D83294" w:rsidRDefault="004A6355" w:rsidP="007A7A07">
      <w:pPr>
        <w:numPr>
          <w:ilvl w:val="2"/>
          <w:numId w:val="27"/>
        </w:numPr>
        <w:ind w:right="2"/>
      </w:pPr>
      <w:r>
        <w:t xml:space="preserve">Não  significa   impossibilidade  de  apreciação  em  data posterior  ou   vedação  a  que se   adotem  medidas  saneadoras,  punitivas  ou  destinadas  a  ressarcir  danos que possam ter sido  causados aos cofres públicos; </w:t>
      </w:r>
    </w:p>
    <w:p w14:paraId="7BAFA843" w14:textId="77777777" w:rsidR="00D83294" w:rsidRDefault="004A6355" w:rsidP="007A7A07">
      <w:pPr>
        <w:numPr>
          <w:ilvl w:val="2"/>
          <w:numId w:val="27"/>
        </w:numPr>
        <w:ind w:right="2"/>
      </w:pPr>
      <w:r>
        <w:t xml:space="preserve">Nos casos  em  que   não  for  constatado  dolo da  organização   da  sociedade civil   ou  de  seus  prepostos,  sem prejuízo   da  atualização  monetária,  não  incidirão  juros  de  mora  sobre  os débitos  apurados   no  período  entre  o  final  do  prazo  e  a data   em  que  foi emitida  a  manifestação   conclusiva  pelo  CAU/PB, sem   prejuízo  da atualização   monetária,  que  observará  a  variação  anual  do  Índice  Nacional  de Preços   ao  Consumidor  Amplo  –  IPCA,  calculado  pela  Fundação Instituto  Brasileiro de Geografia e Estatística – IBGE. </w:t>
      </w:r>
    </w:p>
    <w:p w14:paraId="1CD701FC" w14:textId="77777777" w:rsidR="00D83294" w:rsidRDefault="004A6355" w:rsidP="007A7A07">
      <w:pPr>
        <w:ind w:left="1439" w:right="2" w:hanging="952"/>
      </w:pPr>
      <w:r>
        <w:t xml:space="preserve"> 18.11.  Vencido  o  prazo  legal  e  não  tendo  sido  prestadas  as  contas  devidas,  o  administrador  público  notificará  a  organização  de  sociedade  civil  em  até  05  (cinco)  dias  úteis  para  que,  no  prazo  de  15  (quinze)  dias  úteis,  cumpra  a  obrigação  ou  recolha  ao  erário  os  recursos  que  lhe  foram  repassados,  corrigidos  monetariamente  e  acrescidos  dos  rendimentos da aplicação no  mercado financeiro. </w:t>
      </w:r>
    </w:p>
    <w:p w14:paraId="7F73ECE5" w14:textId="77777777" w:rsidR="00D83294" w:rsidRDefault="004A6355" w:rsidP="007A7A07">
      <w:pPr>
        <w:ind w:left="2158" w:right="2" w:hanging="1126"/>
      </w:pPr>
      <w:r>
        <w:t xml:space="preserve"> 18.11.1.  O  prazo  para manifestação   da  organização  é  prorrogável por   igual  período,  desde que  requerida por intermédio de pedido formal e fundamentado. </w:t>
      </w:r>
    </w:p>
    <w:p w14:paraId="1D5410EB" w14:textId="77777777" w:rsidR="00D83294" w:rsidRDefault="004A6355" w:rsidP="007A7A07">
      <w:pPr>
        <w:ind w:left="2158" w:right="2" w:hanging="1126"/>
      </w:pPr>
      <w:r>
        <w:t xml:space="preserve"> 18.11.2.  Se  não  prestadas  as  contas  ou  se  não  aprovadas,  o  Gestor  determinará  a  suspensão  imediata  da  liberação  de  novos  recursos  relativos  ao  fomento  e  também  concernentes  a  outras  parcerias  vinculadas  e  comunicará  ao  Presidente do CAU/PB. </w:t>
      </w:r>
    </w:p>
    <w:p w14:paraId="3D19C76F" w14:textId="77777777" w:rsidR="00D83294" w:rsidRDefault="004A6355" w:rsidP="007A7A07">
      <w:pPr>
        <w:spacing w:after="124" w:line="265" w:lineRule="auto"/>
        <w:ind w:left="729" w:right="574" w:hanging="10"/>
      </w:pPr>
      <w:r>
        <w:t xml:space="preserve"> I. Terá efeitos de não apresentada a prestação de contas: </w:t>
      </w:r>
    </w:p>
    <w:p w14:paraId="2104D2C8" w14:textId="77777777" w:rsidR="00D83294" w:rsidRDefault="004A6355" w:rsidP="007A7A07">
      <w:pPr>
        <w:numPr>
          <w:ilvl w:val="4"/>
          <w:numId w:val="26"/>
        </w:numPr>
        <w:spacing w:after="124" w:line="265" w:lineRule="auto"/>
        <w:ind w:left="1985" w:right="285"/>
      </w:pPr>
      <w:r>
        <w:t xml:space="preserve">Com documentação incompleta; </w:t>
      </w:r>
    </w:p>
    <w:p w14:paraId="5116F3E2" w14:textId="77777777" w:rsidR="00D83294" w:rsidRDefault="004A6355" w:rsidP="007A7A07">
      <w:pPr>
        <w:numPr>
          <w:ilvl w:val="4"/>
          <w:numId w:val="26"/>
        </w:numPr>
        <w:ind w:left="1985" w:right="285"/>
      </w:pPr>
      <w:r>
        <w:lastRenderedPageBreak/>
        <w:t xml:space="preserve">Com  documentos  inidôneos  para  comprovar  a  boa  e  regular  aplicação dos recursos  transferidos; </w:t>
      </w:r>
    </w:p>
    <w:p w14:paraId="78970BE6" w14:textId="77777777" w:rsidR="00D83294" w:rsidRDefault="004A6355" w:rsidP="007A7A07">
      <w:pPr>
        <w:numPr>
          <w:ilvl w:val="4"/>
          <w:numId w:val="26"/>
        </w:numPr>
        <w:spacing w:after="130" w:line="259" w:lineRule="auto"/>
        <w:ind w:left="1985" w:right="285"/>
      </w:pPr>
      <w:r>
        <w:t xml:space="preserve">Quando não executada a contrapartida, quando esta  for devida; e </w:t>
      </w:r>
    </w:p>
    <w:p w14:paraId="55B07ED9" w14:textId="77777777" w:rsidR="00D83294" w:rsidRDefault="004A6355" w:rsidP="007A7A07">
      <w:pPr>
        <w:numPr>
          <w:ilvl w:val="4"/>
          <w:numId w:val="26"/>
        </w:numPr>
        <w:spacing w:after="374"/>
        <w:ind w:left="1985" w:right="285"/>
      </w:pPr>
      <w:r>
        <w:t xml:space="preserve">De que se constate fraude na execução do fomento. </w:t>
      </w:r>
    </w:p>
    <w:p w14:paraId="6EFF3441" w14:textId="77777777" w:rsidR="00D83294" w:rsidRDefault="004A6355" w:rsidP="007A7A07">
      <w:pPr>
        <w:pStyle w:val="Ttulo2"/>
        <w:tabs>
          <w:tab w:val="center" w:pos="2060"/>
        </w:tabs>
        <w:ind w:left="0" w:firstLine="0"/>
      </w:pPr>
      <w:r>
        <w:t xml:space="preserve"> 19. </w:t>
      </w:r>
      <w:r>
        <w:tab/>
        <w:t xml:space="preserve"> DAS DISPOSIÇÕES GERAIS </w:t>
      </w:r>
    </w:p>
    <w:p w14:paraId="4F849141" w14:textId="77777777" w:rsidR="00D83294" w:rsidRDefault="004A6355" w:rsidP="007A7A07">
      <w:pPr>
        <w:tabs>
          <w:tab w:val="center" w:pos="844"/>
          <w:tab w:val="center" w:pos="5370"/>
        </w:tabs>
        <w:ind w:right="0" w:firstLine="0"/>
      </w:pPr>
      <w:r>
        <w:tab/>
        <w:t xml:space="preserve"> 19.1. </w:t>
      </w:r>
      <w:r>
        <w:tab/>
        <w:t xml:space="preserve"> O ato de inscrição pressupõe plena concordância de todos os termos deste Edital. </w:t>
      </w:r>
    </w:p>
    <w:p w14:paraId="2BC55D54" w14:textId="77777777" w:rsidR="00D83294" w:rsidRDefault="004A6355" w:rsidP="007A7A07">
      <w:pPr>
        <w:ind w:left="1439" w:right="2" w:hanging="830"/>
      </w:pPr>
      <w:r>
        <w:t xml:space="preserve"> 19.2.  Os  resultados  de  todas  as  fases  do  Processo  de  Seleção  são  soberanos,  ficando  a  critério  do  CAU/PB  modificar  datas  de  publicação  das  mesmas  sem  aviso  prévio,  não cabendo recursos  quanto às novas datas. </w:t>
      </w:r>
    </w:p>
    <w:p w14:paraId="4D9A3CE0" w14:textId="77777777" w:rsidR="00D83294" w:rsidRDefault="004A6355" w:rsidP="007A7A07">
      <w:pPr>
        <w:ind w:left="1439" w:right="2" w:hanging="830"/>
      </w:pPr>
      <w:r>
        <w:t xml:space="preserve">19.3.   Fica  estabelecido o   sítio  do  Portal da   internet </w:t>
      </w:r>
      <w:hyperlink r:id="rId21">
        <w:r>
          <w:rPr>
            <w:color w:val="1155CC"/>
            <w:u w:val="single" w:color="1155CC"/>
          </w:rPr>
          <w:t xml:space="preserve"> </w:t>
        </w:r>
      </w:hyperlink>
      <w:hyperlink r:id="rId22">
        <w:r>
          <w:rPr>
            <w:color w:val="1155CC"/>
            <w:u w:val="single" w:color="1155CC"/>
          </w:rPr>
          <w:t>www.caupb.gov.br</w:t>
        </w:r>
      </w:hyperlink>
      <w:r>
        <w:t xml:space="preserve">,   para  a  divulgação  de  quaisquer  informações sobre   a  presente  Chamada Pública,   sem  prejuízo  da  utilização  de  outros  veículos  de  comunicação,  oficiais  ou  não,  de que   o  CAU/PB  venha a dispor. </w:t>
      </w:r>
    </w:p>
    <w:p w14:paraId="311E43A7" w14:textId="77777777" w:rsidR="00D83294" w:rsidRDefault="004A6355" w:rsidP="007A7A07">
      <w:pPr>
        <w:ind w:left="1439" w:right="2" w:hanging="830"/>
      </w:pPr>
      <w:r>
        <w:t xml:space="preserve">19.4.   A qualquer   tempo,  o  presente  Edital  poderá  ser  revogado  por  interesse  público  ou anulado,   no  todo  ou  em  parte,  por  vício insanável,  sem   que  isso  implique  direito  a  indenização  ou reclamação de qualquer natureza. </w:t>
      </w:r>
    </w:p>
    <w:p w14:paraId="7116352E" w14:textId="77777777" w:rsidR="00D83294" w:rsidRDefault="004A6355" w:rsidP="007A7A07">
      <w:pPr>
        <w:ind w:left="1439" w:right="2" w:hanging="830"/>
      </w:pPr>
      <w:r>
        <w:t xml:space="preserve">19.5.   Todos  os  custos decorrentes   da  elaboração  das  propostas  e  quaisquer outras  despesas   correlatas  à participação  no  Chamamento  Público   serão  de  inteira responsabilidade  das   entidades  concorrentes,  não cabendo   nenhuma  remuneração,  apoio ou indenização por parte  do CAU/PB. </w:t>
      </w:r>
    </w:p>
    <w:p w14:paraId="7C032BE7" w14:textId="77777777" w:rsidR="00D83294" w:rsidRDefault="004A6355" w:rsidP="007A7A07">
      <w:pPr>
        <w:ind w:left="1439" w:right="2" w:hanging="830"/>
      </w:pPr>
      <w:r>
        <w:t xml:space="preserve">19.6.   O  CAU/PB  reserva-se o  direito   de  divulgar  o  Fomento  e  de  utilizar, quando  julgar  oportuno,  imagens   e  produtos  da proposta  em   suas  ações  e  peças  de  comunicação  institucional,  bem  como  em  seu  portal  na  internet, sem  qualquer  ônus   adicional  à  cota  de  fomento  ajustada.  Dessa  forma,  os termos  contratuais  entre   o responsável  pela   proposta  e  os  demais  envolvidos devem  contemplar   a extensão   da  cessão  de direito  de  utilização  de   imagens,  ilustração, voz,  fotografia,   fotografado,  fotógrafo e   produtos para as ações de comunicação do CAU/PB, quando for o caso. </w:t>
      </w:r>
    </w:p>
    <w:p w14:paraId="20B84969" w14:textId="77777777" w:rsidR="00D83294" w:rsidRDefault="004A6355" w:rsidP="007A7A07">
      <w:pPr>
        <w:ind w:left="1439" w:right="2" w:hanging="830"/>
      </w:pPr>
      <w:r>
        <w:t xml:space="preserve">19.7.   As  propostas  não  selecionadas ou  inabilitadas  no  âmbito   desta  Chamada Pública   não  serão apoiadas   pelo  CAU/PB  por  outra  modalidade  de  concessão Fomento,   sendo a  excepcionalidade submetida à decisão superior. </w:t>
      </w:r>
    </w:p>
    <w:p w14:paraId="58E50ACC" w14:textId="77777777" w:rsidR="00D83294" w:rsidRDefault="004A6355" w:rsidP="007A7A07">
      <w:pPr>
        <w:ind w:left="1439" w:right="2" w:hanging="830"/>
      </w:pPr>
      <w:r>
        <w:t xml:space="preserve"> 19.8.  Pela  execução  da  parceria  em  desacordo  com  o  Plano  de  Trabalho  e  com  as  normas  da  Lei  n.º 13.019/2014 ,  a  administração  pública  poderá,  garantida  a  prévia  defesa,  aplicar  à  entidade  parceira  as  sanções  previstas  na  referida  Lei  e  nos  regulamentos  aplicados à espécie. </w:t>
      </w:r>
    </w:p>
    <w:p w14:paraId="65DC2327" w14:textId="77777777" w:rsidR="00D83294" w:rsidRDefault="004A6355" w:rsidP="007A7A07">
      <w:pPr>
        <w:ind w:left="1439" w:right="2" w:hanging="830"/>
      </w:pPr>
      <w:r>
        <w:lastRenderedPageBreak/>
        <w:t xml:space="preserve"> 19.9.  A inobservância   das formalidades  da   Lei  n.º  13.019/2014  e  dos  regulamentos aplicados   à  espécie,  é  considerada  ato  de  improbidade  administrativa,  conforme  Lei  n.º 8.429/1992. </w:t>
      </w:r>
    </w:p>
    <w:p w14:paraId="493D705A" w14:textId="77777777" w:rsidR="00D83294" w:rsidRDefault="004A6355" w:rsidP="007A7A07">
      <w:pPr>
        <w:tabs>
          <w:tab w:val="center" w:pos="783"/>
          <w:tab w:val="center" w:pos="1079"/>
          <w:tab w:val="center" w:pos="2996"/>
          <w:tab w:val="center" w:pos="5040"/>
          <w:tab w:val="center" w:pos="6972"/>
          <w:tab w:val="center" w:pos="8569"/>
          <w:tab w:val="right" w:pos="9645"/>
        </w:tabs>
        <w:spacing w:after="0"/>
        <w:ind w:left="1418" w:right="0" w:hanging="1418"/>
      </w:pPr>
      <w:r>
        <w:tab/>
        <w:t>19.10.</w:t>
      </w:r>
      <w:r w:rsidR="000E10A9">
        <w:t xml:space="preserve"> </w:t>
      </w:r>
      <w:r w:rsidR="000E10A9">
        <w:tab/>
        <w:t xml:space="preserve"> </w:t>
      </w:r>
      <w:r>
        <w:t xml:space="preserve"> Durante  a  vigência  do  Termo de </w:t>
      </w:r>
      <w:r>
        <w:tab/>
        <w:t xml:space="preserve"> Fomento, </w:t>
      </w:r>
      <w:r>
        <w:tab/>
        <w:t xml:space="preserve">  se  houver  qualquer alteração </w:t>
      </w:r>
      <w:r>
        <w:tab/>
        <w:t xml:space="preserve"> na</w:t>
      </w:r>
      <w:r w:rsidR="000E10A9">
        <w:t xml:space="preserve"> </w:t>
      </w:r>
      <w:r>
        <w:t xml:space="preserve">proposta  inicial, a   entidade  deverá,  no  prazo  máximo de   05 ( cinco)  dias  úteis,  submetê-la  à  aprovação do CAU/PB por meio de ofício dirigido ao Presidente do CAU/PB. </w:t>
      </w:r>
    </w:p>
    <w:p w14:paraId="550BF6B9" w14:textId="77777777" w:rsidR="00D83294" w:rsidRDefault="004A6355" w:rsidP="007A7A07">
      <w:pPr>
        <w:tabs>
          <w:tab w:val="center" w:pos="1415"/>
          <w:tab w:val="right" w:pos="9645"/>
        </w:tabs>
        <w:spacing w:after="10" w:line="259" w:lineRule="auto"/>
        <w:ind w:right="0" w:firstLine="0"/>
      </w:pPr>
      <w:r>
        <w:tab/>
        <w:t xml:space="preserve"> 19.10.1. </w:t>
      </w:r>
      <w:r>
        <w:tab/>
        <w:t xml:space="preserve"> Deverão  ser  cumpridas,  no  que  tange à   prestação  de  contas  e  à  regularidade </w:t>
      </w:r>
    </w:p>
    <w:p w14:paraId="470502BB" w14:textId="77777777" w:rsidR="00D83294" w:rsidRDefault="004A6355" w:rsidP="007A7A07">
      <w:pPr>
        <w:ind w:left="2143" w:right="2"/>
      </w:pPr>
      <w:r>
        <w:t xml:space="preserve"> do  referido  processo, a   Lei n.º   13.019/2014,  o  Decreto  n.º  8.726/2016,  a Resolução n.º 94 do  CAU/BR, bem como as demais normas vigentes. </w:t>
      </w:r>
      <w:r>
        <w:tab/>
        <w:t xml:space="preserve"> </w:t>
      </w:r>
    </w:p>
    <w:p w14:paraId="26468C83" w14:textId="77777777" w:rsidR="00D83294" w:rsidRDefault="004A6355" w:rsidP="007A7A07">
      <w:pPr>
        <w:ind w:left="2158" w:right="2" w:hanging="1126"/>
      </w:pPr>
      <w:r>
        <w:t xml:space="preserve"> 19.10.2.  Caso  não  ocorra  a  aprovação  da  alteração  requerida,  a organização   de  sociedade  civil  ficará obrigada,   no  prazo  máximo  de  30 ( trinta)  dias,  a devolver o valor já depositado pelo  CAU/PB. </w:t>
      </w:r>
      <w:r>
        <w:tab/>
        <w:t xml:space="preserve"> </w:t>
      </w:r>
    </w:p>
    <w:p w14:paraId="7B89497D" w14:textId="77777777" w:rsidR="00D83294" w:rsidRDefault="004A6355" w:rsidP="007A7A07">
      <w:pPr>
        <w:spacing w:after="957"/>
        <w:ind w:left="1439" w:right="2" w:hanging="952"/>
      </w:pPr>
      <w:r>
        <w:t xml:space="preserve"> 19.11.  Os  casos  não  previstos  no  Edital,  quando  se  tratarem  da  seleção  das  propostas,  serão  respondidos  pela  Comissão  de  Seleção.  Todos  os  outros,  serão  solucionados  pelo Presidente do  CAU/PB. </w:t>
      </w:r>
    </w:p>
    <w:p w14:paraId="5CD540B0" w14:textId="123A1765" w:rsidR="00D83294" w:rsidRPr="00E226C2" w:rsidRDefault="004A6355" w:rsidP="007A7A07">
      <w:pPr>
        <w:spacing w:after="1383" w:line="265" w:lineRule="auto"/>
        <w:ind w:left="729" w:right="0" w:hanging="10"/>
        <w:rPr>
          <w:color w:val="auto"/>
        </w:rPr>
      </w:pPr>
      <w:r w:rsidRPr="00E226C2">
        <w:rPr>
          <w:color w:val="auto"/>
        </w:rPr>
        <w:t xml:space="preserve"> João Pessoa, </w:t>
      </w:r>
      <w:r w:rsidR="00957049">
        <w:rPr>
          <w:color w:val="auto"/>
        </w:rPr>
        <w:t>19</w:t>
      </w:r>
      <w:r w:rsidRPr="00E226C2">
        <w:rPr>
          <w:color w:val="auto"/>
        </w:rPr>
        <w:t xml:space="preserve"> de </w:t>
      </w:r>
      <w:r w:rsidR="00A86859">
        <w:rPr>
          <w:color w:val="auto"/>
        </w:rPr>
        <w:t>outubro</w:t>
      </w:r>
      <w:r w:rsidRPr="00E226C2">
        <w:rPr>
          <w:color w:val="auto"/>
        </w:rPr>
        <w:t xml:space="preserve">  de 202</w:t>
      </w:r>
      <w:r w:rsidR="000E10A9" w:rsidRPr="00E226C2">
        <w:rPr>
          <w:color w:val="auto"/>
        </w:rPr>
        <w:t>3</w:t>
      </w:r>
      <w:r w:rsidRPr="00E226C2">
        <w:rPr>
          <w:color w:val="auto"/>
        </w:rPr>
        <w:t xml:space="preserve"> </w:t>
      </w:r>
    </w:p>
    <w:p w14:paraId="7C1F7893" w14:textId="77777777" w:rsidR="00D83294" w:rsidRDefault="004A6355" w:rsidP="007A7A07">
      <w:pPr>
        <w:pStyle w:val="Ttulo2"/>
        <w:spacing w:after="130" w:line="259" w:lineRule="auto"/>
        <w:ind w:left="729"/>
      </w:pPr>
      <w:r>
        <w:t xml:space="preserve"> </w:t>
      </w:r>
      <w:r w:rsidR="007F79D8">
        <w:t>Eduardo de Oliveira Nóbrega Filho</w:t>
      </w:r>
    </w:p>
    <w:p w14:paraId="5E619B08" w14:textId="77777777" w:rsidR="00D83294" w:rsidRDefault="004A6355" w:rsidP="007A7A07">
      <w:pPr>
        <w:spacing w:after="124" w:line="265" w:lineRule="auto"/>
        <w:ind w:left="729" w:right="0" w:hanging="10"/>
      </w:pPr>
      <w:r>
        <w:t xml:space="preserve"> Presidente do CAU/PB </w:t>
      </w:r>
    </w:p>
    <w:sectPr w:rsidR="00D83294" w:rsidSect="007A7A07">
      <w:headerReference w:type="even" r:id="rId23"/>
      <w:headerReference w:type="default" r:id="rId24"/>
      <w:footerReference w:type="even" r:id="rId25"/>
      <w:footerReference w:type="default" r:id="rId26"/>
      <w:headerReference w:type="first" r:id="rId27"/>
      <w:footerReference w:type="first" r:id="rId28"/>
      <w:pgSz w:w="11899" w:h="16858"/>
      <w:pgMar w:top="1440" w:right="1080" w:bottom="1440" w:left="1080" w:header="375" w:footer="583"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2DC7" w16cex:dateUtc="2023-08-09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9C803" w16cid:durableId="287E2D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90AF" w14:textId="77777777" w:rsidR="00FA18A0" w:rsidRDefault="00FA18A0">
      <w:pPr>
        <w:spacing w:after="0" w:line="240" w:lineRule="auto"/>
      </w:pPr>
      <w:r>
        <w:separator/>
      </w:r>
    </w:p>
  </w:endnote>
  <w:endnote w:type="continuationSeparator" w:id="0">
    <w:p w14:paraId="183DD9AF" w14:textId="77777777" w:rsidR="00FA18A0" w:rsidRDefault="00FA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8ADE" w14:textId="77777777" w:rsidR="004A6355" w:rsidRPr="008C5D0D" w:rsidRDefault="004A6355" w:rsidP="008C5D0D">
    <w:pPr>
      <w:pStyle w:val="Rodap"/>
    </w:pPr>
    <w:r w:rsidRPr="008C5D0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2E82" w14:textId="77777777" w:rsidR="004A6355" w:rsidRPr="008C5D0D" w:rsidRDefault="004A6355" w:rsidP="008C5D0D">
    <w:pPr>
      <w:spacing w:after="179" w:line="259" w:lineRule="auto"/>
      <w:ind w:right="0" w:firstLine="0"/>
      <w:jc w:val="left"/>
      <w:rPr>
        <w:sz w:val="20"/>
        <w:szCs w:val="20"/>
      </w:rPr>
    </w:pPr>
    <w:r w:rsidRPr="008C5D0D">
      <w:rPr>
        <w:sz w:val="20"/>
        <w:szCs w:val="20"/>
      </w:rPr>
      <w:t xml:space="preserve">___________________________________________________________________________ </w:t>
    </w:r>
  </w:p>
  <w:p w14:paraId="59ADEB38" w14:textId="77777777" w:rsidR="004A6355" w:rsidRPr="008C5D0D" w:rsidRDefault="004A6355" w:rsidP="008C5D0D">
    <w:pPr>
      <w:rPr>
        <w:rFonts w:cstheme="minorHAnsi"/>
        <w:sz w:val="20"/>
        <w:szCs w:val="20"/>
      </w:rPr>
    </w:pPr>
    <w:r w:rsidRPr="008C5D0D">
      <w:rPr>
        <w:sz w:val="20"/>
        <w:szCs w:val="20"/>
      </w:rPr>
      <w:t xml:space="preserve"> </w:t>
    </w:r>
    <w:r w:rsidRPr="008C5D0D">
      <w:rPr>
        <w:rFonts w:cstheme="minorHAnsi"/>
        <w:b/>
        <w:sz w:val="20"/>
        <w:szCs w:val="20"/>
      </w:rPr>
      <w:t>CONSELHO DE ARQUITETURA E URBANISMO DA PARAÍBA - CAU/PB</w:t>
    </w:r>
    <w:r w:rsidRPr="008C5D0D">
      <w:rPr>
        <w:rFonts w:cstheme="minorHAnsi"/>
        <w:sz w:val="20"/>
        <w:szCs w:val="20"/>
      </w:rPr>
      <w:t xml:space="preserve"> - Av. Rio Grande do Sul, 1345. Salas 803 a 806. B. dos Estados - João Pessoa/PB - CEP: 58030-021  – CNPJ: 14.918.711/0001-54. Fone:(83) 3506-8993 e 3221 8993 – Site: www.caupb.gov.br – E-mail</w:t>
    </w:r>
    <w:r>
      <w:rPr>
        <w:rFonts w:cstheme="minorHAnsi"/>
        <w:sz w:val="20"/>
        <w:szCs w:val="20"/>
      </w:rPr>
      <w:t>: secretariageral</w:t>
    </w:r>
    <w:r w:rsidRPr="008C5D0D">
      <w:rPr>
        <w:rFonts w:cstheme="minorHAnsi"/>
        <w:sz w:val="20"/>
        <w:szCs w:val="20"/>
      </w:rPr>
      <w:t>@caupb.gov.br</w:t>
    </w:r>
  </w:p>
  <w:sdt>
    <w:sdtPr>
      <w:rPr>
        <w:sz w:val="20"/>
        <w:szCs w:val="20"/>
      </w:rPr>
      <w:id w:val="1049881049"/>
      <w:docPartObj>
        <w:docPartGallery w:val="Page Numbers (Bottom of Page)"/>
        <w:docPartUnique/>
      </w:docPartObj>
    </w:sdtPr>
    <w:sdtEndPr/>
    <w:sdtContent>
      <w:p w14:paraId="0025B3D1" w14:textId="77777777" w:rsidR="004A6355" w:rsidRPr="008C5D0D" w:rsidRDefault="004A6355">
        <w:pPr>
          <w:pStyle w:val="Rodap"/>
          <w:jc w:val="center"/>
          <w:rPr>
            <w:sz w:val="20"/>
            <w:szCs w:val="20"/>
          </w:rPr>
        </w:pPr>
        <w:r w:rsidRPr="008C5D0D">
          <w:rPr>
            <w:sz w:val="20"/>
            <w:szCs w:val="20"/>
          </w:rPr>
          <w:fldChar w:fldCharType="begin"/>
        </w:r>
        <w:r w:rsidRPr="008C5D0D">
          <w:rPr>
            <w:sz w:val="20"/>
            <w:szCs w:val="20"/>
          </w:rPr>
          <w:instrText>PAGE   \* MERGEFORMAT</w:instrText>
        </w:r>
        <w:r w:rsidRPr="008C5D0D">
          <w:rPr>
            <w:sz w:val="20"/>
            <w:szCs w:val="20"/>
          </w:rPr>
          <w:fldChar w:fldCharType="separate"/>
        </w:r>
        <w:r w:rsidR="00FB0ECE">
          <w:rPr>
            <w:noProof/>
            <w:sz w:val="20"/>
            <w:szCs w:val="20"/>
          </w:rPr>
          <w:t>15</w:t>
        </w:r>
        <w:r w:rsidRPr="008C5D0D">
          <w:rPr>
            <w:sz w:val="20"/>
            <w:szCs w:val="20"/>
          </w:rPr>
          <w:fldChar w:fldCharType="end"/>
        </w:r>
      </w:p>
    </w:sdtContent>
  </w:sdt>
  <w:p w14:paraId="416FFEB1" w14:textId="77777777" w:rsidR="004A6355" w:rsidRPr="008C5D0D" w:rsidRDefault="004A6355" w:rsidP="008C5D0D">
    <w:pPr>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161BD" w14:textId="77777777" w:rsidR="004A6355" w:rsidRPr="00BF2BA5" w:rsidRDefault="004A6355" w:rsidP="00BF2BA5">
    <w:pPr>
      <w:spacing w:after="179" w:line="259" w:lineRule="auto"/>
      <w:ind w:right="0" w:firstLine="0"/>
      <w:jc w:val="left"/>
      <w:rPr>
        <w:sz w:val="20"/>
        <w:szCs w:val="20"/>
      </w:rPr>
    </w:pPr>
    <w:r w:rsidRPr="00BF2BA5">
      <w:rPr>
        <w:sz w:val="20"/>
        <w:szCs w:val="20"/>
      </w:rPr>
      <w:t xml:space="preserve"> ___________________________________________________________________________ </w:t>
    </w:r>
  </w:p>
  <w:p w14:paraId="0A0F33A1" w14:textId="77777777" w:rsidR="004A6355" w:rsidRPr="00BF2BA5" w:rsidRDefault="004A6355" w:rsidP="00BF2BA5">
    <w:pPr>
      <w:rPr>
        <w:rFonts w:cstheme="minorHAnsi"/>
        <w:sz w:val="20"/>
        <w:szCs w:val="20"/>
      </w:rPr>
    </w:pPr>
    <w:r w:rsidRPr="00BF2BA5">
      <w:rPr>
        <w:sz w:val="20"/>
        <w:szCs w:val="20"/>
      </w:rPr>
      <w:t xml:space="preserve"> </w:t>
    </w:r>
    <w:r w:rsidRPr="00BF2BA5">
      <w:rPr>
        <w:rFonts w:cstheme="minorHAnsi"/>
        <w:b/>
        <w:sz w:val="20"/>
        <w:szCs w:val="20"/>
      </w:rPr>
      <w:t>CONSELHO DE ARQUITETURA E URBANISMO DA PARAÍBA - CAU/PB</w:t>
    </w:r>
    <w:r w:rsidRPr="00BF2BA5">
      <w:rPr>
        <w:rFonts w:cstheme="minorHAnsi"/>
        <w:sz w:val="20"/>
        <w:szCs w:val="20"/>
      </w:rPr>
      <w:t xml:space="preserve"> - Av. Rio Grande do Sul, 1345. Salas 803 a 806. B. dos Estados - João Pessoa/PB - CEP: 58030-021  – CNPJ: 14.918.711/0001-54. Fone:(83) 3506-8993 e 3221 8993 – Site: www.caupb.gov.br – E-mail: gerenciageral@caupb.gov.br</w:t>
    </w:r>
  </w:p>
  <w:p w14:paraId="043C622A" w14:textId="77777777" w:rsidR="004A6355" w:rsidRDefault="004A6355" w:rsidP="00BF2BA5">
    <w:pPr>
      <w:spacing w:after="0" w:line="259" w:lineRule="auto"/>
      <w:ind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8BF72" w14:textId="77777777" w:rsidR="00FA18A0" w:rsidRDefault="00FA18A0">
      <w:pPr>
        <w:spacing w:after="0" w:line="281" w:lineRule="auto"/>
        <w:ind w:right="0" w:firstLine="0"/>
        <w:jc w:val="left"/>
      </w:pPr>
      <w:r>
        <w:separator/>
      </w:r>
    </w:p>
  </w:footnote>
  <w:footnote w:type="continuationSeparator" w:id="0">
    <w:p w14:paraId="532DDC14" w14:textId="77777777" w:rsidR="00FA18A0" w:rsidRDefault="00FA18A0">
      <w:pPr>
        <w:spacing w:after="0" w:line="281" w:lineRule="auto"/>
        <w:ind w:right="0" w:firstLine="0"/>
        <w:jc w:val="left"/>
      </w:pPr>
      <w:r>
        <w:continuationSeparator/>
      </w:r>
    </w:p>
  </w:footnote>
  <w:footnote w:id="1">
    <w:p w14:paraId="5143C133" w14:textId="77777777" w:rsidR="004A6355" w:rsidRDefault="004A6355" w:rsidP="00BF2BA5">
      <w:pPr>
        <w:pStyle w:val="footnotedescription"/>
        <w:jc w:val="both"/>
      </w:pPr>
      <w:r>
        <w:rPr>
          <w:rStyle w:val="footnotemark"/>
        </w:rPr>
        <w:footnoteRef/>
      </w:r>
      <w:r>
        <w:t xml:space="preserve"> Na  contagem  dos  prazos,  exclui-se  o  dia  do  início  e  inclui-se  o  do  vencimento.  Os  prazos  se  iniciam  e  expiram  exclusivamente  em  dia  útil  no âmbito do CAU/PB, responsável pela condução do processo de seleção. </w:t>
      </w:r>
    </w:p>
  </w:footnote>
  <w:footnote w:id="2">
    <w:p w14:paraId="2F57B12C" w14:textId="77777777" w:rsidR="004A6355" w:rsidRDefault="004A6355" w:rsidP="00BF2BA5">
      <w:pPr>
        <w:pStyle w:val="footnotedescription"/>
        <w:spacing w:after="59" w:line="259" w:lineRule="auto"/>
        <w:jc w:val="both"/>
      </w:pPr>
      <w:r>
        <w:rPr>
          <w:rStyle w:val="footnotemark"/>
        </w:rPr>
        <w:footnoteRef/>
      </w:r>
      <w:r>
        <w:t xml:space="preserve"> Os prazos não identificados em “dias úteis” serão considerados como “dias corridos”. </w:t>
      </w:r>
    </w:p>
  </w:footnote>
  <w:footnote w:id="3">
    <w:p w14:paraId="5234B130" w14:textId="77777777" w:rsidR="004A6355" w:rsidRDefault="004A6355" w:rsidP="00BF2BA5">
      <w:pPr>
        <w:pStyle w:val="footnotedescription"/>
        <w:spacing w:after="5" w:line="285" w:lineRule="auto"/>
        <w:ind w:right="6"/>
        <w:jc w:val="both"/>
      </w:pPr>
      <w:r>
        <w:rPr>
          <w:rStyle w:val="footnotemark"/>
        </w:rPr>
        <w:footnoteRef/>
      </w:r>
      <w:r>
        <w:t xml:space="preserve"> Para  fins  de recebimento </w:t>
      </w:r>
      <w:r>
        <w:tab/>
        <w:t xml:space="preserve">  de  documentos  pelo  CAU/PB,  considera-se sempre   o  horário de 23h59min  dos  dias/prazos estabelecido neste  Cronograma. Ressalta-se que o horário limite se refere ao recebimento pelo  CAU/PB e não envio de documentação pela proponente. </w:t>
      </w:r>
      <w:r>
        <w:rPr>
          <w:vertAlign w:val="superscript"/>
        </w:rPr>
        <w:t xml:space="preserve"> 4 </w:t>
      </w:r>
      <w:r>
        <w:t xml:space="preserve">O   prazo  de  impugnação  ao  Edital  não importa em  óbice à   continuidade  das  etapas  subsequentes  estabelecidas  no  Cronograma  no  que  se refere às demais propostas. </w:t>
      </w:r>
    </w:p>
  </w:footnote>
  <w:footnote w:id="4">
    <w:p w14:paraId="4A7E4DDC" w14:textId="77777777" w:rsidR="004A6355" w:rsidRDefault="004A6355" w:rsidP="00BF2BA5">
      <w:pPr>
        <w:pStyle w:val="footnotedescription"/>
        <w:spacing w:after="8" w:line="282" w:lineRule="auto"/>
        <w:jc w:val="both"/>
      </w:pPr>
      <w:r>
        <w:rPr>
          <w:rStyle w:val="footnotemark"/>
        </w:rPr>
        <w:footnoteRef/>
      </w:r>
      <w:r>
        <w:t xml:space="preserve"> O  prazo   da  publicação  da  resposta  ao  pedido  de  impugnação não  importa   em  óbice  à  continuidade  das  etapas  subsequentes  estabelecidas no Cronograma. </w:t>
      </w:r>
    </w:p>
  </w:footnote>
  <w:footnote w:id="5">
    <w:p w14:paraId="6A7DDF70" w14:textId="77777777" w:rsidR="004A6355" w:rsidRDefault="004A6355" w:rsidP="00BF2BA5">
      <w:pPr>
        <w:pStyle w:val="footnotedescription"/>
        <w:jc w:val="both"/>
      </w:pPr>
      <w:r>
        <w:rPr>
          <w:rStyle w:val="footnotemark"/>
        </w:rPr>
        <w:footnoteRef/>
      </w:r>
      <w:r>
        <w:t xml:space="preserve"> Considera-se  aquele  emitido  pela  Comissão  de  Seleção  e  que  diz  respeito  à  avaliação  da  Proposta/Plano  de  Trabalho  e  documentos  de  Habilitação Jurídica e de Regularidade Fiscal. </w:t>
      </w:r>
    </w:p>
  </w:footnote>
  <w:footnote w:id="6">
    <w:p w14:paraId="32D32A84" w14:textId="77777777" w:rsidR="00A86859" w:rsidRDefault="00A86859" w:rsidP="00A86859">
      <w:pPr>
        <w:pStyle w:val="footnotedescription"/>
      </w:pPr>
      <w:r>
        <w:rPr>
          <w:rStyle w:val="footnotemark"/>
        </w:rPr>
        <w:footnoteRef/>
      </w:r>
      <w:r>
        <w:t xml:space="preserve"> Considera-se  aquele  expedido  pelo  Coordenador/a  da  Comissão  de  Seleção,  que  contempla  o  resultado  da  seleção  da  Proposta  e  Plano  de Trabalho e Pareceres Técnico e Jurídico.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5DF4" w14:textId="77777777" w:rsidR="004A6355" w:rsidRDefault="004A6355">
    <w:pPr>
      <w:spacing w:after="0" w:line="259" w:lineRule="auto"/>
      <w:ind w:left="-1133" w:right="10778" w:firstLine="0"/>
      <w:jc w:val="left"/>
    </w:pPr>
    <w:r>
      <w:rPr>
        <w:noProof/>
      </w:rPr>
      <w:drawing>
        <wp:anchor distT="0" distB="0" distL="114300" distR="114300" simplePos="0" relativeHeight="251658240" behindDoc="0" locked="0" layoutInCell="1" allowOverlap="0" wp14:anchorId="0D473D1A" wp14:editId="00FFB6FC">
          <wp:simplePos x="0" y="0"/>
          <wp:positionH relativeFrom="page">
            <wp:posOffset>0</wp:posOffset>
          </wp:positionH>
          <wp:positionV relativeFrom="page">
            <wp:posOffset>237925</wp:posOffset>
          </wp:positionV>
          <wp:extent cx="7543800" cy="755904"/>
          <wp:effectExtent l="0" t="0" r="0" b="0"/>
          <wp:wrapSquare wrapText="bothSides"/>
          <wp:docPr id="54698" name="Picture 54698"/>
          <wp:cNvGraphicFramePr/>
          <a:graphic xmlns:a="http://schemas.openxmlformats.org/drawingml/2006/main">
            <a:graphicData uri="http://schemas.openxmlformats.org/drawingml/2006/picture">
              <pic:pic xmlns:pic="http://schemas.openxmlformats.org/drawingml/2006/picture">
                <pic:nvPicPr>
                  <pic:cNvPr id="54698" name="Picture 54698"/>
                  <pic:cNvPicPr/>
                </pic:nvPicPr>
                <pic:blipFill>
                  <a:blip r:embed="rId1"/>
                  <a:stretch>
                    <a:fillRect/>
                  </a:stretch>
                </pic:blipFill>
                <pic:spPr>
                  <a:xfrm>
                    <a:off x="0" y="0"/>
                    <a:ext cx="7543800" cy="75590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C790" w14:textId="77777777" w:rsidR="004A6355" w:rsidRDefault="004A6355">
    <w:pPr>
      <w:spacing w:after="0" w:line="259" w:lineRule="auto"/>
      <w:ind w:left="-1133" w:right="10778" w:firstLine="0"/>
      <w:jc w:val="left"/>
    </w:pPr>
    <w:r>
      <w:rPr>
        <w:noProof/>
      </w:rPr>
      <w:drawing>
        <wp:anchor distT="0" distB="0" distL="114300" distR="114300" simplePos="0" relativeHeight="251659264" behindDoc="0" locked="0" layoutInCell="1" allowOverlap="0" wp14:anchorId="6D1B9F49" wp14:editId="57BAA722">
          <wp:simplePos x="0" y="0"/>
          <wp:positionH relativeFrom="page">
            <wp:posOffset>0</wp:posOffset>
          </wp:positionH>
          <wp:positionV relativeFrom="page">
            <wp:posOffset>237925</wp:posOffset>
          </wp:positionV>
          <wp:extent cx="7543800" cy="755904"/>
          <wp:effectExtent l="0" t="0" r="0" b="0"/>
          <wp:wrapSquare wrapText="bothSides"/>
          <wp:docPr id="1" name="Picture 54698"/>
          <wp:cNvGraphicFramePr/>
          <a:graphic xmlns:a="http://schemas.openxmlformats.org/drawingml/2006/main">
            <a:graphicData uri="http://schemas.openxmlformats.org/drawingml/2006/picture">
              <pic:pic xmlns:pic="http://schemas.openxmlformats.org/drawingml/2006/picture">
                <pic:nvPicPr>
                  <pic:cNvPr id="54698" name="Picture 54698"/>
                  <pic:cNvPicPr/>
                </pic:nvPicPr>
                <pic:blipFill>
                  <a:blip r:embed="rId1"/>
                  <a:stretch>
                    <a:fillRect/>
                  </a:stretch>
                </pic:blipFill>
                <pic:spPr>
                  <a:xfrm>
                    <a:off x="0" y="0"/>
                    <a:ext cx="7543800" cy="75590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B123" w14:textId="77777777" w:rsidR="004A6355" w:rsidRDefault="004A6355">
    <w:pPr>
      <w:spacing w:after="0" w:line="259" w:lineRule="auto"/>
      <w:ind w:left="-1133" w:right="10778" w:firstLine="0"/>
      <w:jc w:val="left"/>
    </w:pPr>
    <w:r>
      <w:rPr>
        <w:noProof/>
      </w:rPr>
      <w:drawing>
        <wp:anchor distT="0" distB="0" distL="114300" distR="114300" simplePos="0" relativeHeight="251660288" behindDoc="0" locked="0" layoutInCell="1" allowOverlap="0" wp14:anchorId="2EAAB339" wp14:editId="65AA4C73">
          <wp:simplePos x="0" y="0"/>
          <wp:positionH relativeFrom="page">
            <wp:posOffset>0</wp:posOffset>
          </wp:positionH>
          <wp:positionV relativeFrom="page">
            <wp:posOffset>237925</wp:posOffset>
          </wp:positionV>
          <wp:extent cx="7543800" cy="755904"/>
          <wp:effectExtent l="0" t="0" r="0" b="0"/>
          <wp:wrapSquare wrapText="bothSides"/>
          <wp:docPr id="2" name="Picture 54698"/>
          <wp:cNvGraphicFramePr/>
          <a:graphic xmlns:a="http://schemas.openxmlformats.org/drawingml/2006/main">
            <a:graphicData uri="http://schemas.openxmlformats.org/drawingml/2006/picture">
              <pic:pic xmlns:pic="http://schemas.openxmlformats.org/drawingml/2006/picture">
                <pic:nvPicPr>
                  <pic:cNvPr id="54698" name="Picture 54698"/>
                  <pic:cNvPicPr/>
                </pic:nvPicPr>
                <pic:blipFill>
                  <a:blip r:embed="rId1"/>
                  <a:stretch>
                    <a:fillRect/>
                  </a:stretch>
                </pic:blipFill>
                <pic:spPr>
                  <a:xfrm>
                    <a:off x="0" y="0"/>
                    <a:ext cx="7543800" cy="7559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D00"/>
    <w:multiLevelType w:val="hybridMultilevel"/>
    <w:tmpl w:val="E96A3C9E"/>
    <w:lvl w:ilvl="0" w:tplc="D3C608D6">
      <w:start w:val="1"/>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1B8560A">
      <w:start w:val="1"/>
      <w:numFmt w:val="lowerLetter"/>
      <w:lvlText w:val="%2"/>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B8817E">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24E950">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8FC05DE">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609E10">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9C2F4CC">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D6349C">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C4C0E0">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DD1CFB"/>
    <w:multiLevelType w:val="hybridMultilevel"/>
    <w:tmpl w:val="EE803696"/>
    <w:lvl w:ilvl="0" w:tplc="6D2801F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4581D56">
      <w:start w:val="4"/>
      <w:numFmt w:val="lowerRoman"/>
      <w:lvlText w:val="%2."/>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12B646">
      <w:start w:val="1"/>
      <w:numFmt w:val="lowerRoman"/>
      <w:lvlText w:val="%3"/>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174B354">
      <w:start w:val="1"/>
      <w:numFmt w:val="decimal"/>
      <w:lvlText w:val="%4"/>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383158">
      <w:start w:val="1"/>
      <w:numFmt w:val="lowerLetter"/>
      <w:lvlText w:val="%5"/>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9A4EF54">
      <w:start w:val="1"/>
      <w:numFmt w:val="lowerRoman"/>
      <w:lvlText w:val="%6"/>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DCC2216">
      <w:start w:val="1"/>
      <w:numFmt w:val="decimal"/>
      <w:lvlText w:val="%7"/>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8367DDA">
      <w:start w:val="1"/>
      <w:numFmt w:val="lowerLetter"/>
      <w:lvlText w:val="%8"/>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9CB3F8">
      <w:start w:val="1"/>
      <w:numFmt w:val="lowerRoman"/>
      <w:lvlText w:val="%9"/>
      <w:lvlJc w:val="left"/>
      <w:pPr>
        <w:ind w:left="68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939FE"/>
    <w:multiLevelType w:val="hybridMultilevel"/>
    <w:tmpl w:val="FEAC9CFA"/>
    <w:lvl w:ilvl="0" w:tplc="BAEECA3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B8837C">
      <w:start w:val="1"/>
      <w:numFmt w:val="lowerLetter"/>
      <w:lvlText w:val="%2"/>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36A4738">
      <w:start w:val="1"/>
      <w:numFmt w:val="lowerRoman"/>
      <w:lvlText w:val="%3"/>
      <w:lvlJc w:val="left"/>
      <w:pPr>
        <w:ind w:left="1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1A6B18">
      <w:start w:val="1"/>
      <w:numFmt w:val="lowerLetter"/>
      <w:lvlRestart w:val="0"/>
      <w:lvlText w:val="%4)"/>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4DE08C4">
      <w:start w:val="1"/>
      <w:numFmt w:val="lowerLetter"/>
      <w:lvlText w:val="%5"/>
      <w:lvlJc w:val="left"/>
      <w:pPr>
        <w:ind w:left="2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C0F8CC">
      <w:start w:val="1"/>
      <w:numFmt w:val="lowerRoman"/>
      <w:lvlText w:val="%6"/>
      <w:lvlJc w:val="left"/>
      <w:pPr>
        <w:ind w:left="31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472FF88">
      <w:start w:val="1"/>
      <w:numFmt w:val="decimal"/>
      <w:lvlText w:val="%7"/>
      <w:lvlJc w:val="left"/>
      <w:pPr>
        <w:ind w:left="3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AFA78E4">
      <w:start w:val="1"/>
      <w:numFmt w:val="lowerLetter"/>
      <w:lvlText w:val="%8"/>
      <w:lvlJc w:val="left"/>
      <w:pPr>
        <w:ind w:left="4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C205044">
      <w:start w:val="1"/>
      <w:numFmt w:val="lowerRoman"/>
      <w:lvlText w:val="%9"/>
      <w:lvlJc w:val="left"/>
      <w:pPr>
        <w:ind w:left="5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203BAE"/>
    <w:multiLevelType w:val="hybridMultilevel"/>
    <w:tmpl w:val="94ACF3BC"/>
    <w:lvl w:ilvl="0" w:tplc="3592ADEC">
      <w:start w:val="1"/>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CBCF388">
      <w:start w:val="1"/>
      <w:numFmt w:val="lowerLetter"/>
      <w:lvlText w:val="%2"/>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2608252">
      <w:start w:val="1"/>
      <w:numFmt w:val="lowerRoman"/>
      <w:lvlText w:val="%3"/>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CA3D70">
      <w:start w:val="1"/>
      <w:numFmt w:val="decimal"/>
      <w:lvlText w:val="%4"/>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77A22A2">
      <w:start w:val="1"/>
      <w:numFmt w:val="lowerLetter"/>
      <w:lvlText w:val="%5"/>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529FDA">
      <w:start w:val="1"/>
      <w:numFmt w:val="lowerRoman"/>
      <w:lvlText w:val="%6"/>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94437A">
      <w:start w:val="1"/>
      <w:numFmt w:val="decimal"/>
      <w:lvlText w:val="%7"/>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340BBFE">
      <w:start w:val="1"/>
      <w:numFmt w:val="lowerLetter"/>
      <w:lvlText w:val="%8"/>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C4BD8A">
      <w:start w:val="1"/>
      <w:numFmt w:val="lowerRoman"/>
      <w:lvlText w:val="%9"/>
      <w:lvlJc w:val="left"/>
      <w:pPr>
        <w:ind w:left="76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CF7799"/>
    <w:multiLevelType w:val="multilevel"/>
    <w:tmpl w:val="12D4B3FA"/>
    <w:lvl w:ilvl="0">
      <w:start w:val="2"/>
      <w:numFmt w:val="upperRoman"/>
      <w:lvlText w:val="%1."/>
      <w:lvlJc w:val="left"/>
      <w:pPr>
        <w:ind w:left="10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71600D"/>
    <w:multiLevelType w:val="hybridMultilevel"/>
    <w:tmpl w:val="1DD4903E"/>
    <w:lvl w:ilvl="0" w:tplc="269C72E0">
      <w:start w:val="15"/>
      <w:numFmt w:val="decimal"/>
      <w:lvlText w:val="%1"/>
      <w:lvlJc w:val="left"/>
      <w:pPr>
        <w:ind w:left="1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3EC904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5B62984">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E4CC4C">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B9AD3F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703558">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D8AEA3E">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F6283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F6D39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E7517E9"/>
    <w:multiLevelType w:val="hybridMultilevel"/>
    <w:tmpl w:val="F4586E78"/>
    <w:lvl w:ilvl="0" w:tplc="941448B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B482FEA">
      <w:start w:val="1"/>
      <w:numFmt w:val="lowerLetter"/>
      <w:lvlText w:val="%2"/>
      <w:lvlJc w:val="left"/>
      <w:pPr>
        <w:ind w:left="1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EDE6714">
      <w:start w:val="1"/>
      <w:numFmt w:val="lowerLetter"/>
      <w:lvlRestart w:val="0"/>
      <w:lvlText w:val="%3)"/>
      <w:lvlJc w:val="left"/>
      <w:pPr>
        <w:ind w:left="24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F49A76">
      <w:start w:val="1"/>
      <w:numFmt w:val="decimal"/>
      <w:lvlText w:val="%4"/>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790B542">
      <w:start w:val="1"/>
      <w:numFmt w:val="lowerLetter"/>
      <w:lvlText w:val="%5"/>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CAD536">
      <w:start w:val="1"/>
      <w:numFmt w:val="lowerRoman"/>
      <w:lvlText w:val="%6"/>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C2040E">
      <w:start w:val="1"/>
      <w:numFmt w:val="decimal"/>
      <w:lvlText w:val="%7"/>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A2B6AE">
      <w:start w:val="1"/>
      <w:numFmt w:val="lowerLetter"/>
      <w:lvlText w:val="%8"/>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8EC60FA">
      <w:start w:val="1"/>
      <w:numFmt w:val="lowerRoman"/>
      <w:lvlText w:val="%9"/>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0033F0"/>
    <w:multiLevelType w:val="multilevel"/>
    <w:tmpl w:val="5CCA35F2"/>
    <w:lvl w:ilvl="0">
      <w:start w:val="2"/>
      <w:numFmt w:val="lowerRoman"/>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1.%2."/>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6B181A"/>
    <w:multiLevelType w:val="hybridMultilevel"/>
    <w:tmpl w:val="4AA4FDF4"/>
    <w:lvl w:ilvl="0" w:tplc="1CDEDFAC">
      <w:start w:val="1"/>
      <w:numFmt w:val="lowerRoman"/>
      <w:lvlText w:val="%1."/>
      <w:lvlJc w:val="left"/>
      <w:pPr>
        <w:ind w:left="3644" w:hanging="720"/>
      </w:pPr>
      <w:rPr>
        <w:rFonts w:hint="default"/>
      </w:rPr>
    </w:lvl>
    <w:lvl w:ilvl="1" w:tplc="04160019" w:tentative="1">
      <w:start w:val="1"/>
      <w:numFmt w:val="lowerLetter"/>
      <w:lvlText w:val="%2."/>
      <w:lvlJc w:val="left"/>
      <w:pPr>
        <w:ind w:left="4004" w:hanging="360"/>
      </w:pPr>
    </w:lvl>
    <w:lvl w:ilvl="2" w:tplc="0416001B" w:tentative="1">
      <w:start w:val="1"/>
      <w:numFmt w:val="lowerRoman"/>
      <w:lvlText w:val="%3."/>
      <w:lvlJc w:val="right"/>
      <w:pPr>
        <w:ind w:left="4724" w:hanging="180"/>
      </w:pPr>
    </w:lvl>
    <w:lvl w:ilvl="3" w:tplc="0416000F" w:tentative="1">
      <w:start w:val="1"/>
      <w:numFmt w:val="decimal"/>
      <w:lvlText w:val="%4."/>
      <w:lvlJc w:val="left"/>
      <w:pPr>
        <w:ind w:left="5444" w:hanging="360"/>
      </w:pPr>
    </w:lvl>
    <w:lvl w:ilvl="4" w:tplc="04160019" w:tentative="1">
      <w:start w:val="1"/>
      <w:numFmt w:val="lowerLetter"/>
      <w:lvlText w:val="%5."/>
      <w:lvlJc w:val="left"/>
      <w:pPr>
        <w:ind w:left="6164" w:hanging="360"/>
      </w:pPr>
    </w:lvl>
    <w:lvl w:ilvl="5" w:tplc="0416001B" w:tentative="1">
      <w:start w:val="1"/>
      <w:numFmt w:val="lowerRoman"/>
      <w:lvlText w:val="%6."/>
      <w:lvlJc w:val="right"/>
      <w:pPr>
        <w:ind w:left="6884" w:hanging="180"/>
      </w:pPr>
    </w:lvl>
    <w:lvl w:ilvl="6" w:tplc="0416000F" w:tentative="1">
      <w:start w:val="1"/>
      <w:numFmt w:val="decimal"/>
      <w:lvlText w:val="%7."/>
      <w:lvlJc w:val="left"/>
      <w:pPr>
        <w:ind w:left="7604" w:hanging="360"/>
      </w:pPr>
    </w:lvl>
    <w:lvl w:ilvl="7" w:tplc="04160019" w:tentative="1">
      <w:start w:val="1"/>
      <w:numFmt w:val="lowerLetter"/>
      <w:lvlText w:val="%8."/>
      <w:lvlJc w:val="left"/>
      <w:pPr>
        <w:ind w:left="8324" w:hanging="360"/>
      </w:pPr>
    </w:lvl>
    <w:lvl w:ilvl="8" w:tplc="0416001B" w:tentative="1">
      <w:start w:val="1"/>
      <w:numFmt w:val="lowerRoman"/>
      <w:lvlText w:val="%9."/>
      <w:lvlJc w:val="right"/>
      <w:pPr>
        <w:ind w:left="9044" w:hanging="180"/>
      </w:pPr>
    </w:lvl>
  </w:abstractNum>
  <w:abstractNum w:abstractNumId="9" w15:restartNumberingAfterBreak="0">
    <w:nsid w:val="2AC02FDC"/>
    <w:multiLevelType w:val="hybridMultilevel"/>
    <w:tmpl w:val="970C40E2"/>
    <w:lvl w:ilvl="0" w:tplc="97F64A4E">
      <w:start w:val="9"/>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788D780">
      <w:start w:val="1"/>
      <w:numFmt w:val="lowerLetter"/>
      <w:lvlText w:val="%2"/>
      <w:lvlJc w:val="left"/>
      <w:pPr>
        <w:ind w:left="26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54ADA1A">
      <w:start w:val="1"/>
      <w:numFmt w:val="lowerRoman"/>
      <w:lvlText w:val="%3"/>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2B4F898">
      <w:start w:val="1"/>
      <w:numFmt w:val="decimal"/>
      <w:lvlText w:val="%4"/>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31C0DD2">
      <w:start w:val="1"/>
      <w:numFmt w:val="lowerLetter"/>
      <w:lvlText w:val="%5"/>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142278">
      <w:start w:val="1"/>
      <w:numFmt w:val="lowerRoman"/>
      <w:lvlText w:val="%6"/>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D38BD44">
      <w:start w:val="1"/>
      <w:numFmt w:val="decimal"/>
      <w:lvlText w:val="%7"/>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2C0FAE4">
      <w:start w:val="1"/>
      <w:numFmt w:val="lowerLetter"/>
      <w:lvlText w:val="%8"/>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927776">
      <w:start w:val="1"/>
      <w:numFmt w:val="lowerRoman"/>
      <w:lvlText w:val="%9"/>
      <w:lvlJc w:val="left"/>
      <w:pPr>
        <w:ind w:left="76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545B86"/>
    <w:multiLevelType w:val="hybridMultilevel"/>
    <w:tmpl w:val="DD4C6ADE"/>
    <w:lvl w:ilvl="0" w:tplc="2DE06294">
      <w:start w:val="1"/>
      <w:numFmt w:val="lowerLetter"/>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962200E">
      <w:start w:val="1"/>
      <w:numFmt w:val="lowerLetter"/>
      <w:lvlText w:val="%2"/>
      <w:lvlJc w:val="left"/>
      <w:pPr>
        <w:ind w:left="2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9AA0EE">
      <w:start w:val="1"/>
      <w:numFmt w:val="lowerRoman"/>
      <w:lvlText w:val="%3"/>
      <w:lvlJc w:val="left"/>
      <w:pPr>
        <w:ind w:left="31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9026062">
      <w:start w:val="1"/>
      <w:numFmt w:val="decimal"/>
      <w:lvlText w:val="%4"/>
      <w:lvlJc w:val="left"/>
      <w:pPr>
        <w:ind w:left="3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FD2677A">
      <w:start w:val="1"/>
      <w:numFmt w:val="lowerLetter"/>
      <w:lvlText w:val="%5"/>
      <w:lvlJc w:val="left"/>
      <w:pPr>
        <w:ind w:left="4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4645A2C">
      <w:start w:val="1"/>
      <w:numFmt w:val="lowerRoman"/>
      <w:lvlText w:val="%6"/>
      <w:lvlJc w:val="left"/>
      <w:pPr>
        <w:ind w:left="5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B661D6C">
      <w:start w:val="1"/>
      <w:numFmt w:val="decimal"/>
      <w:lvlText w:val="%7"/>
      <w:lvlJc w:val="left"/>
      <w:pPr>
        <w:ind w:left="60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4B48102">
      <w:start w:val="1"/>
      <w:numFmt w:val="lowerLetter"/>
      <w:lvlText w:val="%8"/>
      <w:lvlJc w:val="left"/>
      <w:pPr>
        <w:ind w:left="67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BC99E6">
      <w:start w:val="1"/>
      <w:numFmt w:val="lowerRoman"/>
      <w:lvlText w:val="%9"/>
      <w:lvlJc w:val="left"/>
      <w:pPr>
        <w:ind w:left="75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75ADA"/>
    <w:multiLevelType w:val="hybridMultilevel"/>
    <w:tmpl w:val="720E1094"/>
    <w:lvl w:ilvl="0" w:tplc="3CBC75B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881B86">
      <w:start w:val="1"/>
      <w:numFmt w:val="lowerLetter"/>
      <w:lvlText w:val="%2"/>
      <w:lvlJc w:val="left"/>
      <w:pPr>
        <w:ind w:left="1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8F02666">
      <w:start w:val="1"/>
      <w:numFmt w:val="lowerRoman"/>
      <w:lvlRestart w:val="0"/>
      <w:lvlText w:val="%3."/>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E42486">
      <w:start w:val="1"/>
      <w:numFmt w:val="decimal"/>
      <w:lvlText w:val="%4"/>
      <w:lvlJc w:val="left"/>
      <w:pPr>
        <w:ind w:left="33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FCACC56">
      <w:start w:val="1"/>
      <w:numFmt w:val="lowerLetter"/>
      <w:lvlText w:val="%5"/>
      <w:lvlJc w:val="left"/>
      <w:pPr>
        <w:ind w:left="40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530A292">
      <w:start w:val="1"/>
      <w:numFmt w:val="lowerRoman"/>
      <w:lvlText w:val="%6"/>
      <w:lvlJc w:val="left"/>
      <w:pPr>
        <w:ind w:left="47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22EDE1C">
      <w:start w:val="1"/>
      <w:numFmt w:val="decimal"/>
      <w:lvlText w:val="%7"/>
      <w:lvlJc w:val="left"/>
      <w:pPr>
        <w:ind w:left="5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1FA782A">
      <w:start w:val="1"/>
      <w:numFmt w:val="lowerLetter"/>
      <w:lvlText w:val="%8"/>
      <w:lvlJc w:val="left"/>
      <w:pPr>
        <w:ind w:left="62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42C10FE">
      <w:start w:val="1"/>
      <w:numFmt w:val="lowerRoman"/>
      <w:lvlText w:val="%9"/>
      <w:lvlJc w:val="left"/>
      <w:pPr>
        <w:ind w:left="69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22D7579"/>
    <w:multiLevelType w:val="hybridMultilevel"/>
    <w:tmpl w:val="066847F0"/>
    <w:lvl w:ilvl="0" w:tplc="4ADADD18">
      <w:start w:val="1"/>
      <w:numFmt w:val="lowerLetter"/>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56E65AE">
      <w:start w:val="1"/>
      <w:numFmt w:val="lowerRoman"/>
      <w:lvlText w:val="%2."/>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4DE1898">
      <w:start w:val="1"/>
      <w:numFmt w:val="lowerRoman"/>
      <w:lvlText w:val="%3"/>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6C6EF34">
      <w:start w:val="1"/>
      <w:numFmt w:val="decimal"/>
      <w:lvlText w:val="%4"/>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F24726">
      <w:start w:val="1"/>
      <w:numFmt w:val="lowerLetter"/>
      <w:lvlText w:val="%5"/>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4A4FA74">
      <w:start w:val="1"/>
      <w:numFmt w:val="lowerRoman"/>
      <w:lvlText w:val="%6"/>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F628D0">
      <w:start w:val="1"/>
      <w:numFmt w:val="decimal"/>
      <w:lvlText w:val="%7"/>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4F2978E">
      <w:start w:val="1"/>
      <w:numFmt w:val="lowerLetter"/>
      <w:lvlText w:val="%8"/>
      <w:lvlJc w:val="left"/>
      <w:pPr>
        <w:ind w:left="6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6615D6">
      <w:start w:val="1"/>
      <w:numFmt w:val="lowerRoman"/>
      <w:lvlText w:val="%9"/>
      <w:lvlJc w:val="left"/>
      <w:pPr>
        <w:ind w:left="68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EE2ADB"/>
    <w:multiLevelType w:val="multilevel"/>
    <w:tmpl w:val="99EA26E0"/>
    <w:lvl w:ilvl="0">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4A1762"/>
    <w:multiLevelType w:val="hybridMultilevel"/>
    <w:tmpl w:val="74FEBDAA"/>
    <w:lvl w:ilvl="0" w:tplc="AB9272D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C34864E">
      <w:start w:val="1"/>
      <w:numFmt w:val="lowerLetter"/>
      <w:lvlRestart w:val="0"/>
      <w:lvlText w:val="%2)"/>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02034A4">
      <w:start w:val="1"/>
      <w:numFmt w:val="lowerRoman"/>
      <w:lvlText w:val="%3"/>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EBC2244">
      <w:start w:val="1"/>
      <w:numFmt w:val="decimal"/>
      <w:lvlText w:val="%4"/>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32B5CA">
      <w:start w:val="1"/>
      <w:numFmt w:val="lowerLetter"/>
      <w:lvlText w:val="%5"/>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8844B26">
      <w:start w:val="1"/>
      <w:numFmt w:val="lowerRoman"/>
      <w:lvlText w:val="%6"/>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A269CB0">
      <w:start w:val="1"/>
      <w:numFmt w:val="decimal"/>
      <w:lvlText w:val="%7"/>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4EE7AE">
      <w:start w:val="1"/>
      <w:numFmt w:val="lowerLetter"/>
      <w:lvlText w:val="%8"/>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4E2C42">
      <w:start w:val="1"/>
      <w:numFmt w:val="lowerRoman"/>
      <w:lvlText w:val="%9"/>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8160CD"/>
    <w:multiLevelType w:val="hybridMultilevel"/>
    <w:tmpl w:val="E67A7B18"/>
    <w:lvl w:ilvl="0" w:tplc="B0BA4A2E">
      <w:start w:val="1"/>
      <w:numFmt w:val="lowerLetter"/>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1E1A2E">
      <w:start w:val="1"/>
      <w:numFmt w:val="lowerLetter"/>
      <w:lvlText w:val="%2"/>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1EAF44C">
      <w:start w:val="1"/>
      <w:numFmt w:val="lowerRoman"/>
      <w:lvlText w:val="%3"/>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98E7014">
      <w:start w:val="1"/>
      <w:numFmt w:val="decimal"/>
      <w:lvlText w:val="%4"/>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F1CD3F2">
      <w:start w:val="1"/>
      <w:numFmt w:val="lowerLetter"/>
      <w:lvlText w:val="%5"/>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888186">
      <w:start w:val="1"/>
      <w:numFmt w:val="lowerRoman"/>
      <w:lvlText w:val="%6"/>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807F58">
      <w:start w:val="1"/>
      <w:numFmt w:val="decimal"/>
      <w:lvlText w:val="%7"/>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4EAB84">
      <w:start w:val="1"/>
      <w:numFmt w:val="lowerLetter"/>
      <w:lvlText w:val="%8"/>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2A6FBC2">
      <w:start w:val="1"/>
      <w:numFmt w:val="lowerRoman"/>
      <w:lvlText w:val="%9"/>
      <w:lvlJc w:val="left"/>
      <w:pPr>
        <w:ind w:left="6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8468E9"/>
    <w:multiLevelType w:val="hybridMultilevel"/>
    <w:tmpl w:val="E67CAB94"/>
    <w:lvl w:ilvl="0" w:tplc="FEE061A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678CCC2">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2E0038">
      <w:start w:val="1"/>
      <w:numFmt w:val="lowerLetter"/>
      <w:lvlRestart w:val="0"/>
      <w:lvlText w:val="%3)"/>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AEE2108">
      <w:start w:val="1"/>
      <w:numFmt w:val="decimal"/>
      <w:lvlText w:val="%4"/>
      <w:lvlJc w:val="left"/>
      <w:pPr>
        <w:ind w:left="2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68AB78">
      <w:start w:val="1"/>
      <w:numFmt w:val="lowerLetter"/>
      <w:lvlText w:val="%5"/>
      <w:lvlJc w:val="left"/>
      <w:pPr>
        <w:ind w:left="3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B2055C2">
      <w:start w:val="1"/>
      <w:numFmt w:val="lowerRoman"/>
      <w:lvlText w:val="%6"/>
      <w:lvlJc w:val="left"/>
      <w:pPr>
        <w:ind w:left="4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C8D760">
      <w:start w:val="1"/>
      <w:numFmt w:val="decimal"/>
      <w:lvlText w:val="%7"/>
      <w:lvlJc w:val="left"/>
      <w:pPr>
        <w:ind w:left="4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ADEF5C0">
      <w:start w:val="1"/>
      <w:numFmt w:val="lowerLetter"/>
      <w:lvlText w:val="%8"/>
      <w:lvlJc w:val="left"/>
      <w:pPr>
        <w:ind w:left="5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3DA6B8E">
      <w:start w:val="1"/>
      <w:numFmt w:val="lowerRoman"/>
      <w:lvlText w:val="%9"/>
      <w:lvlJc w:val="left"/>
      <w:pPr>
        <w:ind w:left="6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DF0B10"/>
    <w:multiLevelType w:val="hybridMultilevel"/>
    <w:tmpl w:val="4CBC5B68"/>
    <w:lvl w:ilvl="0" w:tplc="3B86DD6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60B4FA">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08C952">
      <w:start w:val="1"/>
      <w:numFmt w:val="lowerLetter"/>
      <w:lvlRestart w:val="0"/>
      <w:lvlText w:val="%3)"/>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966E4FC">
      <w:start w:val="1"/>
      <w:numFmt w:val="decimal"/>
      <w:lvlText w:val="%4"/>
      <w:lvlJc w:val="left"/>
      <w:pPr>
        <w:ind w:left="17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BA12A2">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EEB924">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121C2E">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2A2F3CC">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2A6860C">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0A5C09"/>
    <w:multiLevelType w:val="hybridMultilevel"/>
    <w:tmpl w:val="FD7E62D0"/>
    <w:lvl w:ilvl="0" w:tplc="5C1ADD3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701932">
      <w:start w:val="1"/>
      <w:numFmt w:val="lowerLetter"/>
      <w:lvlText w:val="%2"/>
      <w:lvlJc w:val="left"/>
      <w:pPr>
        <w:ind w:left="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DE48D2">
      <w:start w:val="1"/>
      <w:numFmt w:val="lowerRoman"/>
      <w:lvlText w:val="%3"/>
      <w:lvlJc w:val="left"/>
      <w:pPr>
        <w:ind w:left="1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16C804">
      <w:start w:val="1"/>
      <w:numFmt w:val="lowerRoman"/>
      <w:lvlRestart w:val="0"/>
      <w:lvlText w:val="%4."/>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2E64614">
      <w:start w:val="1"/>
      <w:numFmt w:val="lowerLetter"/>
      <w:lvlText w:val="%5"/>
      <w:lvlJc w:val="left"/>
      <w:pPr>
        <w:ind w:left="2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73A2BEE">
      <w:start w:val="1"/>
      <w:numFmt w:val="lowerRoman"/>
      <w:lvlText w:val="%6"/>
      <w:lvlJc w:val="left"/>
      <w:pPr>
        <w:ind w:left="3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3BCE352">
      <w:start w:val="1"/>
      <w:numFmt w:val="decimal"/>
      <w:lvlText w:val="%7"/>
      <w:lvlJc w:val="left"/>
      <w:pPr>
        <w:ind w:left="3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0E84A0E">
      <w:start w:val="1"/>
      <w:numFmt w:val="lowerLetter"/>
      <w:lvlText w:val="%8"/>
      <w:lvlJc w:val="left"/>
      <w:pPr>
        <w:ind w:left="4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886720C">
      <w:start w:val="1"/>
      <w:numFmt w:val="lowerRoman"/>
      <w:lvlText w:val="%9"/>
      <w:lvlJc w:val="left"/>
      <w:pPr>
        <w:ind w:left="5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DC429B"/>
    <w:multiLevelType w:val="hybridMultilevel"/>
    <w:tmpl w:val="0DEEA082"/>
    <w:lvl w:ilvl="0" w:tplc="34283D70">
      <w:start w:val="15"/>
      <w:numFmt w:val="decimal"/>
      <w:lvlText w:val="%1"/>
      <w:lvlJc w:val="left"/>
      <w:pPr>
        <w:ind w:left="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9CE4B72">
      <w:start w:val="1"/>
      <w:numFmt w:val="lowerLetter"/>
      <w:lvlText w:val="%2"/>
      <w:lvlJc w:val="left"/>
      <w:pPr>
        <w:ind w:left="1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0C0C92">
      <w:start w:val="1"/>
      <w:numFmt w:val="lowerRoman"/>
      <w:lvlText w:val="%3"/>
      <w:lvlJc w:val="left"/>
      <w:pPr>
        <w:ind w:left="18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8655B6">
      <w:start w:val="1"/>
      <w:numFmt w:val="decimal"/>
      <w:lvlText w:val="%4"/>
      <w:lvlJc w:val="left"/>
      <w:pPr>
        <w:ind w:left="25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80774C">
      <w:start w:val="1"/>
      <w:numFmt w:val="lowerLetter"/>
      <w:lvlText w:val="%5"/>
      <w:lvlJc w:val="left"/>
      <w:pPr>
        <w:ind w:left="32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4C47FE">
      <w:start w:val="1"/>
      <w:numFmt w:val="lowerRoman"/>
      <w:lvlText w:val="%6"/>
      <w:lvlJc w:val="left"/>
      <w:pPr>
        <w:ind w:left="40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C81E94">
      <w:start w:val="1"/>
      <w:numFmt w:val="decimal"/>
      <w:lvlText w:val="%7"/>
      <w:lvlJc w:val="left"/>
      <w:pPr>
        <w:ind w:left="47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28A407E">
      <w:start w:val="1"/>
      <w:numFmt w:val="lowerLetter"/>
      <w:lvlText w:val="%8"/>
      <w:lvlJc w:val="left"/>
      <w:pPr>
        <w:ind w:left="54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2284EA">
      <w:start w:val="1"/>
      <w:numFmt w:val="lowerRoman"/>
      <w:lvlText w:val="%9"/>
      <w:lvlJc w:val="left"/>
      <w:pPr>
        <w:ind w:left="61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E4E4C76"/>
    <w:multiLevelType w:val="hybridMultilevel"/>
    <w:tmpl w:val="2D82564C"/>
    <w:lvl w:ilvl="0" w:tplc="120CBA42">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F2C658">
      <w:start w:val="1"/>
      <w:numFmt w:val="lowerLetter"/>
      <w:lvlText w:val="%2"/>
      <w:lvlJc w:val="left"/>
      <w:pPr>
        <w:ind w:left="11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1D26AD4">
      <w:start w:val="1"/>
      <w:numFmt w:val="lowerLetter"/>
      <w:lvlRestart w:val="0"/>
      <w:lvlText w:val="%3)"/>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EA26AA">
      <w:start w:val="1"/>
      <w:numFmt w:val="decimal"/>
      <w:lvlText w:val="%4"/>
      <w:lvlJc w:val="left"/>
      <w:pPr>
        <w:ind w:left="27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5063AC8">
      <w:start w:val="1"/>
      <w:numFmt w:val="lowerLetter"/>
      <w:lvlText w:val="%5"/>
      <w:lvlJc w:val="left"/>
      <w:pPr>
        <w:ind w:left="34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70D5E0">
      <w:start w:val="1"/>
      <w:numFmt w:val="lowerRoman"/>
      <w:lvlText w:val="%6"/>
      <w:lvlJc w:val="left"/>
      <w:pPr>
        <w:ind w:left="41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C6536C">
      <w:start w:val="1"/>
      <w:numFmt w:val="decimal"/>
      <w:lvlText w:val="%7"/>
      <w:lvlJc w:val="left"/>
      <w:pPr>
        <w:ind w:left="49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70AFEC4">
      <w:start w:val="1"/>
      <w:numFmt w:val="lowerLetter"/>
      <w:lvlText w:val="%8"/>
      <w:lvlJc w:val="left"/>
      <w:pPr>
        <w:ind w:left="5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545A2A">
      <w:start w:val="1"/>
      <w:numFmt w:val="lowerRoman"/>
      <w:lvlText w:val="%9"/>
      <w:lvlJc w:val="left"/>
      <w:pPr>
        <w:ind w:left="6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8F3DA8"/>
    <w:multiLevelType w:val="hybridMultilevel"/>
    <w:tmpl w:val="31A6F252"/>
    <w:lvl w:ilvl="0" w:tplc="F036CD96">
      <w:start w:val="1"/>
      <w:numFmt w:val="upperRoman"/>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BB625DC">
      <w:start w:val="1"/>
      <w:numFmt w:val="lowerLetter"/>
      <w:lvlText w:val="%2)"/>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0CC964">
      <w:start w:val="3"/>
      <w:numFmt w:val="lowerRoman"/>
      <w:lvlText w:val="%3."/>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0C0B36">
      <w:start w:val="1"/>
      <w:numFmt w:val="decimal"/>
      <w:lvlText w:val="%4"/>
      <w:lvlJc w:val="left"/>
      <w:pPr>
        <w:ind w:left="36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042E182">
      <w:start w:val="1"/>
      <w:numFmt w:val="lowerLetter"/>
      <w:lvlText w:val="%5"/>
      <w:lvlJc w:val="left"/>
      <w:pPr>
        <w:ind w:left="43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D4E8B90">
      <w:start w:val="1"/>
      <w:numFmt w:val="lowerRoman"/>
      <w:lvlText w:val="%6"/>
      <w:lvlJc w:val="left"/>
      <w:pPr>
        <w:ind w:left="50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64C260">
      <w:start w:val="1"/>
      <w:numFmt w:val="decimal"/>
      <w:lvlText w:val="%7"/>
      <w:lvlJc w:val="left"/>
      <w:pPr>
        <w:ind w:left="57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5289A2">
      <w:start w:val="1"/>
      <w:numFmt w:val="lowerLetter"/>
      <w:lvlText w:val="%8"/>
      <w:lvlJc w:val="left"/>
      <w:pPr>
        <w:ind w:left="65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EDE9172">
      <w:start w:val="1"/>
      <w:numFmt w:val="lowerRoman"/>
      <w:lvlText w:val="%9"/>
      <w:lvlJc w:val="left"/>
      <w:pPr>
        <w:ind w:left="7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0B3FDB"/>
    <w:multiLevelType w:val="hybridMultilevel"/>
    <w:tmpl w:val="DFB6C8CC"/>
    <w:lvl w:ilvl="0" w:tplc="C5D87CD6">
      <w:start w:val="2"/>
      <w:numFmt w:val="upperRoman"/>
      <w:lvlText w:val="%1."/>
      <w:lvlJc w:val="left"/>
      <w:pPr>
        <w:ind w:left="951"/>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A1B64F06">
      <w:start w:val="1"/>
      <w:numFmt w:val="lowerLetter"/>
      <w:lvlText w:val="%2)"/>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D25B30">
      <w:start w:val="1"/>
      <w:numFmt w:val="lowerRoman"/>
      <w:lvlText w:val="%3."/>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5240A10">
      <w:start w:val="1"/>
      <w:numFmt w:val="decimal"/>
      <w:lvlText w:val="%4"/>
      <w:lvlJc w:val="left"/>
      <w:pPr>
        <w:ind w:left="3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EB61710">
      <w:start w:val="1"/>
      <w:numFmt w:val="lowerLetter"/>
      <w:lvlText w:val="%5"/>
      <w:lvlJc w:val="left"/>
      <w:pPr>
        <w:ind w:left="3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D0D168">
      <w:start w:val="1"/>
      <w:numFmt w:val="lowerRoman"/>
      <w:lvlText w:val="%6"/>
      <w:lvlJc w:val="left"/>
      <w:pPr>
        <w:ind w:left="4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567686">
      <w:start w:val="1"/>
      <w:numFmt w:val="decimal"/>
      <w:lvlText w:val="%7"/>
      <w:lvlJc w:val="left"/>
      <w:pPr>
        <w:ind w:left="5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E6AE11A">
      <w:start w:val="1"/>
      <w:numFmt w:val="lowerLetter"/>
      <w:lvlText w:val="%8"/>
      <w:lvlJc w:val="left"/>
      <w:pPr>
        <w:ind w:left="5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59059EA">
      <w:start w:val="1"/>
      <w:numFmt w:val="lowerRoman"/>
      <w:lvlText w:val="%9"/>
      <w:lvlJc w:val="left"/>
      <w:pPr>
        <w:ind w:left="6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AF452A"/>
    <w:multiLevelType w:val="multilevel"/>
    <w:tmpl w:val="2B5CB920"/>
    <w:lvl w:ilvl="0">
      <w:start w:val="1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01555D"/>
    <w:multiLevelType w:val="hybridMultilevel"/>
    <w:tmpl w:val="0E5C3AFC"/>
    <w:lvl w:ilvl="0" w:tplc="22E2C01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164470A">
      <w:start w:val="1"/>
      <w:numFmt w:val="lowerLetter"/>
      <w:lvlText w:val="%2"/>
      <w:lvlJc w:val="left"/>
      <w:pPr>
        <w:ind w:left="1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2CE37E">
      <w:start w:val="1"/>
      <w:numFmt w:val="lowerRoman"/>
      <w:lvlText w:val="%3"/>
      <w:lvlJc w:val="left"/>
      <w:pPr>
        <w:ind w:left="1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85AC8F4">
      <w:start w:val="1"/>
      <w:numFmt w:val="decimal"/>
      <w:lvlText w:val="%4"/>
      <w:lvlJc w:val="left"/>
      <w:pPr>
        <w:ind w:left="24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7406F6">
      <w:start w:val="1"/>
      <w:numFmt w:val="lowerLetter"/>
      <w:lvlRestart w:val="0"/>
      <w:lvlText w:val="%5)"/>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20DC3A">
      <w:start w:val="1"/>
      <w:numFmt w:val="lowerRoman"/>
      <w:lvlText w:val="%6"/>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D740706">
      <w:start w:val="1"/>
      <w:numFmt w:val="decimal"/>
      <w:lvlText w:val="%7"/>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8AB6EC">
      <w:start w:val="1"/>
      <w:numFmt w:val="lowerLetter"/>
      <w:lvlText w:val="%8"/>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AC06AE">
      <w:start w:val="1"/>
      <w:numFmt w:val="lowerRoman"/>
      <w:lvlText w:val="%9"/>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FF03E6"/>
    <w:multiLevelType w:val="hybridMultilevel"/>
    <w:tmpl w:val="9656EDBC"/>
    <w:lvl w:ilvl="0" w:tplc="F1BC6D90">
      <w:start w:val="1"/>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AACD68">
      <w:start w:val="1"/>
      <w:numFmt w:val="lowerLetter"/>
      <w:lvlText w:val="%2"/>
      <w:lvlJc w:val="left"/>
      <w:pPr>
        <w:ind w:left="26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CF018AA">
      <w:start w:val="1"/>
      <w:numFmt w:val="lowerRoman"/>
      <w:lvlText w:val="%3"/>
      <w:lvlJc w:val="left"/>
      <w:pPr>
        <w:ind w:left="34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A92CC52">
      <w:start w:val="1"/>
      <w:numFmt w:val="decimal"/>
      <w:lvlText w:val="%4"/>
      <w:lvlJc w:val="left"/>
      <w:pPr>
        <w:ind w:left="41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208B5EE">
      <w:start w:val="1"/>
      <w:numFmt w:val="lowerLetter"/>
      <w:lvlText w:val="%5"/>
      <w:lvlJc w:val="left"/>
      <w:pPr>
        <w:ind w:left="48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F0A5CE">
      <w:start w:val="1"/>
      <w:numFmt w:val="lowerRoman"/>
      <w:lvlText w:val="%6"/>
      <w:lvlJc w:val="left"/>
      <w:pPr>
        <w:ind w:left="5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26AA09A">
      <w:start w:val="1"/>
      <w:numFmt w:val="decimal"/>
      <w:lvlText w:val="%7"/>
      <w:lvlJc w:val="left"/>
      <w:pPr>
        <w:ind w:left="6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825EE0">
      <w:start w:val="1"/>
      <w:numFmt w:val="lowerLetter"/>
      <w:lvlText w:val="%8"/>
      <w:lvlJc w:val="left"/>
      <w:pPr>
        <w:ind w:left="70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EC93BA">
      <w:start w:val="1"/>
      <w:numFmt w:val="lowerRoman"/>
      <w:lvlText w:val="%9"/>
      <w:lvlJc w:val="left"/>
      <w:pPr>
        <w:ind w:left="7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AF4798"/>
    <w:multiLevelType w:val="hybridMultilevel"/>
    <w:tmpl w:val="95F20A7A"/>
    <w:lvl w:ilvl="0" w:tplc="6478E05C">
      <w:start w:val="1"/>
      <w:numFmt w:val="lowerLetter"/>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0E7952">
      <w:start w:val="1"/>
      <w:numFmt w:val="lowerLetter"/>
      <w:lvlText w:val="%2"/>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E0CDF3A">
      <w:start w:val="1"/>
      <w:numFmt w:val="lowerRoman"/>
      <w:lvlText w:val="%3"/>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BD0E0C2">
      <w:start w:val="1"/>
      <w:numFmt w:val="decimal"/>
      <w:lvlText w:val="%4"/>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CDA7A04">
      <w:start w:val="1"/>
      <w:numFmt w:val="lowerLetter"/>
      <w:lvlText w:val="%5"/>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F58DAF2">
      <w:start w:val="1"/>
      <w:numFmt w:val="lowerRoman"/>
      <w:lvlText w:val="%6"/>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7CE4C56">
      <w:start w:val="1"/>
      <w:numFmt w:val="decimal"/>
      <w:lvlText w:val="%7"/>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A2AB18">
      <w:start w:val="1"/>
      <w:numFmt w:val="lowerLetter"/>
      <w:lvlText w:val="%8"/>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B9AF9F4">
      <w:start w:val="1"/>
      <w:numFmt w:val="lowerRoman"/>
      <w:lvlText w:val="%9"/>
      <w:lvlJc w:val="left"/>
      <w:pPr>
        <w:ind w:left="6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5B24B4"/>
    <w:multiLevelType w:val="hybridMultilevel"/>
    <w:tmpl w:val="ABD0FF8A"/>
    <w:lvl w:ilvl="0" w:tplc="FC2838F8">
      <w:start w:val="1"/>
      <w:numFmt w:val="upperRoman"/>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7967A9A">
      <w:start w:val="1"/>
      <w:numFmt w:val="lowerLetter"/>
      <w:lvlText w:val="%2"/>
      <w:lvlJc w:val="left"/>
      <w:pPr>
        <w:ind w:left="19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7400B4">
      <w:start w:val="1"/>
      <w:numFmt w:val="lowerRoman"/>
      <w:lvlText w:val="%3"/>
      <w:lvlJc w:val="left"/>
      <w:pPr>
        <w:ind w:left="2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C526A62">
      <w:start w:val="1"/>
      <w:numFmt w:val="decimal"/>
      <w:lvlText w:val="%4"/>
      <w:lvlJc w:val="left"/>
      <w:pPr>
        <w:ind w:left="33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42CDC6">
      <w:start w:val="1"/>
      <w:numFmt w:val="lowerLetter"/>
      <w:lvlText w:val="%5"/>
      <w:lvlJc w:val="left"/>
      <w:pPr>
        <w:ind w:left="40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2F4D68A">
      <w:start w:val="1"/>
      <w:numFmt w:val="lowerRoman"/>
      <w:lvlText w:val="%6"/>
      <w:lvlJc w:val="left"/>
      <w:pPr>
        <w:ind w:left="47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7CCC1E">
      <w:start w:val="1"/>
      <w:numFmt w:val="decimal"/>
      <w:lvlText w:val="%7"/>
      <w:lvlJc w:val="left"/>
      <w:pPr>
        <w:ind w:left="5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2AC2178">
      <w:start w:val="1"/>
      <w:numFmt w:val="lowerLetter"/>
      <w:lvlText w:val="%8"/>
      <w:lvlJc w:val="left"/>
      <w:pPr>
        <w:ind w:left="6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B743DE8">
      <w:start w:val="1"/>
      <w:numFmt w:val="lowerRoman"/>
      <w:lvlText w:val="%9"/>
      <w:lvlJc w:val="left"/>
      <w:pPr>
        <w:ind w:left="6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2ABC"/>
    <w:multiLevelType w:val="hybridMultilevel"/>
    <w:tmpl w:val="40D6BE62"/>
    <w:lvl w:ilvl="0" w:tplc="448290CE">
      <w:start w:val="1"/>
      <w:numFmt w:val="lowerLetter"/>
      <w:lvlText w:val="%1)"/>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B2836C">
      <w:start w:val="1"/>
      <w:numFmt w:val="lowerRoman"/>
      <w:lvlText w:val="%2."/>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687278">
      <w:start w:val="1"/>
      <w:numFmt w:val="lowerRoman"/>
      <w:lvlText w:val="%3"/>
      <w:lvlJc w:val="left"/>
      <w:pPr>
        <w:ind w:left="2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05E8368">
      <w:start w:val="1"/>
      <w:numFmt w:val="decimal"/>
      <w:lvlText w:val="%4"/>
      <w:lvlJc w:val="left"/>
      <w:pPr>
        <w:ind w:left="35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1D6A538">
      <w:start w:val="1"/>
      <w:numFmt w:val="lowerLetter"/>
      <w:lvlText w:val="%5"/>
      <w:lvlJc w:val="left"/>
      <w:pPr>
        <w:ind w:left="42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2C828F2">
      <w:start w:val="1"/>
      <w:numFmt w:val="lowerRoman"/>
      <w:lvlText w:val="%6"/>
      <w:lvlJc w:val="left"/>
      <w:pPr>
        <w:ind w:left="49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C22AA3A">
      <w:start w:val="1"/>
      <w:numFmt w:val="decimal"/>
      <w:lvlText w:val="%7"/>
      <w:lvlJc w:val="left"/>
      <w:pPr>
        <w:ind w:left="5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12F8E6">
      <w:start w:val="1"/>
      <w:numFmt w:val="lowerLetter"/>
      <w:lvlText w:val="%8"/>
      <w:lvlJc w:val="left"/>
      <w:pPr>
        <w:ind w:left="64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2207294">
      <w:start w:val="1"/>
      <w:numFmt w:val="lowerRoman"/>
      <w:lvlText w:val="%9"/>
      <w:lvlJc w:val="left"/>
      <w:pPr>
        <w:ind w:left="71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2A6420"/>
    <w:multiLevelType w:val="hybridMultilevel"/>
    <w:tmpl w:val="DF16E1EA"/>
    <w:lvl w:ilvl="0" w:tplc="49780D36">
      <w:start w:val="1"/>
      <w:numFmt w:val="lowerLetter"/>
      <w:lvlText w:val="%1)"/>
      <w:lvlJc w:val="left"/>
      <w:pPr>
        <w:ind w:left="21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29824E0">
      <w:start w:val="1"/>
      <w:numFmt w:val="lowerLetter"/>
      <w:lvlText w:val="%2"/>
      <w:lvlJc w:val="left"/>
      <w:pPr>
        <w:ind w:left="3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9A88F8A">
      <w:start w:val="1"/>
      <w:numFmt w:val="lowerRoman"/>
      <w:lvlText w:val="%3"/>
      <w:lvlJc w:val="left"/>
      <w:pPr>
        <w:ind w:left="3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EA8DDC">
      <w:start w:val="1"/>
      <w:numFmt w:val="decimal"/>
      <w:lvlText w:val="%4"/>
      <w:lvlJc w:val="left"/>
      <w:pPr>
        <w:ind w:left="4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E022264">
      <w:start w:val="1"/>
      <w:numFmt w:val="lowerLetter"/>
      <w:lvlText w:val="%5"/>
      <w:lvlJc w:val="left"/>
      <w:pPr>
        <w:ind w:left="5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C63364">
      <w:start w:val="1"/>
      <w:numFmt w:val="lowerRoman"/>
      <w:lvlText w:val="%6"/>
      <w:lvlJc w:val="left"/>
      <w:pPr>
        <w:ind w:left="6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2906C8E">
      <w:start w:val="1"/>
      <w:numFmt w:val="decimal"/>
      <w:lvlText w:val="%7"/>
      <w:lvlJc w:val="left"/>
      <w:pPr>
        <w:ind w:left="6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17E3934">
      <w:start w:val="1"/>
      <w:numFmt w:val="lowerLetter"/>
      <w:lvlText w:val="%8"/>
      <w:lvlJc w:val="left"/>
      <w:pPr>
        <w:ind w:left="7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C067BAA">
      <w:start w:val="1"/>
      <w:numFmt w:val="lowerRoman"/>
      <w:lvlText w:val="%9"/>
      <w:lvlJc w:val="left"/>
      <w:pPr>
        <w:ind w:left="8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9A47D9"/>
    <w:multiLevelType w:val="hybridMultilevel"/>
    <w:tmpl w:val="47E693BC"/>
    <w:lvl w:ilvl="0" w:tplc="248A4F8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C322C7E">
      <w:start w:val="1"/>
      <w:numFmt w:val="lowerLetter"/>
      <w:lvlText w:val="%2"/>
      <w:lvlJc w:val="left"/>
      <w:pPr>
        <w:ind w:left="8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522EC6">
      <w:start w:val="1"/>
      <w:numFmt w:val="lowerRoman"/>
      <w:lvlText w:val="%3"/>
      <w:lvlJc w:val="left"/>
      <w:pPr>
        <w:ind w:left="12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B07026">
      <w:start w:val="3"/>
      <w:numFmt w:val="lowerLetter"/>
      <w:lvlRestart w:val="0"/>
      <w:lvlText w:val="%4)"/>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BA02DA">
      <w:start w:val="1"/>
      <w:numFmt w:val="lowerLetter"/>
      <w:lvlText w:val="%5"/>
      <w:lvlJc w:val="left"/>
      <w:pPr>
        <w:ind w:left="2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A217C0">
      <w:start w:val="1"/>
      <w:numFmt w:val="lowerRoman"/>
      <w:lvlText w:val="%6"/>
      <w:lvlJc w:val="left"/>
      <w:pPr>
        <w:ind w:left="31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E9C8316">
      <w:start w:val="1"/>
      <w:numFmt w:val="decimal"/>
      <w:lvlText w:val="%7"/>
      <w:lvlJc w:val="left"/>
      <w:pPr>
        <w:ind w:left="39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BBA2D3C">
      <w:start w:val="1"/>
      <w:numFmt w:val="lowerLetter"/>
      <w:lvlText w:val="%8"/>
      <w:lvlJc w:val="left"/>
      <w:pPr>
        <w:ind w:left="46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04B8C8">
      <w:start w:val="1"/>
      <w:numFmt w:val="lowerRoman"/>
      <w:lvlText w:val="%9"/>
      <w:lvlJc w:val="left"/>
      <w:pPr>
        <w:ind w:left="53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
  </w:num>
  <w:num w:numId="3">
    <w:abstractNumId w:val="22"/>
  </w:num>
  <w:num w:numId="4">
    <w:abstractNumId w:val="28"/>
  </w:num>
  <w:num w:numId="5">
    <w:abstractNumId w:val="4"/>
  </w:num>
  <w:num w:numId="6">
    <w:abstractNumId w:val="2"/>
  </w:num>
  <w:num w:numId="7">
    <w:abstractNumId w:val="18"/>
  </w:num>
  <w:num w:numId="8">
    <w:abstractNumId w:val="17"/>
  </w:num>
  <w:num w:numId="9">
    <w:abstractNumId w:val="30"/>
  </w:num>
  <w:num w:numId="10">
    <w:abstractNumId w:val="7"/>
  </w:num>
  <w:num w:numId="11">
    <w:abstractNumId w:val="0"/>
  </w:num>
  <w:num w:numId="12">
    <w:abstractNumId w:val="29"/>
  </w:num>
  <w:num w:numId="13">
    <w:abstractNumId w:val="14"/>
  </w:num>
  <w:num w:numId="14">
    <w:abstractNumId w:val="10"/>
  </w:num>
  <w:num w:numId="15">
    <w:abstractNumId w:val="21"/>
  </w:num>
  <w:num w:numId="16">
    <w:abstractNumId w:val="9"/>
  </w:num>
  <w:num w:numId="17">
    <w:abstractNumId w:val="11"/>
  </w:num>
  <w:num w:numId="18">
    <w:abstractNumId w:val="3"/>
  </w:num>
  <w:num w:numId="19">
    <w:abstractNumId w:val="26"/>
  </w:num>
  <w:num w:numId="20">
    <w:abstractNumId w:val="13"/>
  </w:num>
  <w:num w:numId="21">
    <w:abstractNumId w:val="27"/>
  </w:num>
  <w:num w:numId="22">
    <w:abstractNumId w:val="6"/>
  </w:num>
  <w:num w:numId="23">
    <w:abstractNumId w:val="23"/>
  </w:num>
  <w:num w:numId="24">
    <w:abstractNumId w:val="15"/>
  </w:num>
  <w:num w:numId="25">
    <w:abstractNumId w:val="25"/>
  </w:num>
  <w:num w:numId="26">
    <w:abstractNumId w:val="24"/>
  </w:num>
  <w:num w:numId="27">
    <w:abstractNumId w:val="20"/>
  </w:num>
  <w:num w:numId="28">
    <w:abstractNumId w:val="16"/>
  </w:num>
  <w:num w:numId="29">
    <w:abstractNumId w:val="19"/>
  </w:num>
  <w:num w:numId="30">
    <w:abstractNumId w:val="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94"/>
    <w:rsid w:val="000115BC"/>
    <w:rsid w:val="00044380"/>
    <w:rsid w:val="00051894"/>
    <w:rsid w:val="000E10A9"/>
    <w:rsid w:val="00103237"/>
    <w:rsid w:val="00162AB7"/>
    <w:rsid w:val="00267D80"/>
    <w:rsid w:val="002A0E5A"/>
    <w:rsid w:val="00353EE1"/>
    <w:rsid w:val="00407753"/>
    <w:rsid w:val="004A1F31"/>
    <w:rsid w:val="004A6355"/>
    <w:rsid w:val="004A7FDD"/>
    <w:rsid w:val="006449E2"/>
    <w:rsid w:val="007A7A07"/>
    <w:rsid w:val="007F79D8"/>
    <w:rsid w:val="00822983"/>
    <w:rsid w:val="00886AF4"/>
    <w:rsid w:val="008C5D0D"/>
    <w:rsid w:val="009257BE"/>
    <w:rsid w:val="00957049"/>
    <w:rsid w:val="00960A67"/>
    <w:rsid w:val="009B3D76"/>
    <w:rsid w:val="00A73E1F"/>
    <w:rsid w:val="00A748FB"/>
    <w:rsid w:val="00A86859"/>
    <w:rsid w:val="00B365C7"/>
    <w:rsid w:val="00B443B7"/>
    <w:rsid w:val="00B66E45"/>
    <w:rsid w:val="00B9287C"/>
    <w:rsid w:val="00BE628A"/>
    <w:rsid w:val="00BF2BA5"/>
    <w:rsid w:val="00C03877"/>
    <w:rsid w:val="00C7235D"/>
    <w:rsid w:val="00C87784"/>
    <w:rsid w:val="00CA204E"/>
    <w:rsid w:val="00D23B38"/>
    <w:rsid w:val="00D62515"/>
    <w:rsid w:val="00D83294"/>
    <w:rsid w:val="00D94852"/>
    <w:rsid w:val="00E226C2"/>
    <w:rsid w:val="00E260E3"/>
    <w:rsid w:val="00E33D07"/>
    <w:rsid w:val="00E478C2"/>
    <w:rsid w:val="00EF22E5"/>
    <w:rsid w:val="00F51480"/>
    <w:rsid w:val="00F83A1F"/>
    <w:rsid w:val="00FA18A0"/>
    <w:rsid w:val="00FB0ECE"/>
    <w:rsid w:val="00FE538A"/>
    <w:rsid w:val="00FF0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5E9C"/>
  <w15:docId w15:val="{215896BA-B9B4-4A65-9936-DC93BA5D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D0D"/>
    <w:pPr>
      <w:spacing w:after="117" w:line="270" w:lineRule="auto"/>
      <w:ind w:right="1" w:firstLine="1"/>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7"/>
      <w:ind w:right="15"/>
      <w:jc w:val="center"/>
      <w:outlineLvl w:val="0"/>
    </w:pPr>
    <w:rPr>
      <w:rFonts w:ascii="Calibri" w:eastAsia="Calibri" w:hAnsi="Calibri" w:cs="Calibri"/>
      <w:b/>
      <w:color w:val="000000"/>
      <w:sz w:val="32"/>
      <w:u w:val="single" w:color="000000"/>
    </w:rPr>
  </w:style>
  <w:style w:type="paragraph" w:styleId="Ttulo2">
    <w:name w:val="heading 2"/>
    <w:next w:val="Normal"/>
    <w:link w:val="Ttulo2Char"/>
    <w:uiPriority w:val="9"/>
    <w:unhideWhenUsed/>
    <w:qFormat/>
    <w:pPr>
      <w:keepNext/>
      <w:keepLines/>
      <w:spacing w:after="348" w:line="253" w:lineRule="auto"/>
      <w:ind w:left="370" w:hanging="10"/>
      <w:jc w:val="both"/>
      <w:outlineLvl w:val="1"/>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32"/>
      <w:u w:val="single" w:color="000000"/>
    </w:rPr>
  </w:style>
  <w:style w:type="paragraph" w:customStyle="1" w:styleId="footnotedescription">
    <w:name w:val="footnote description"/>
    <w:next w:val="Normal"/>
    <w:link w:val="footnotedescriptionChar"/>
    <w:hidden/>
    <w:pPr>
      <w:spacing w:after="0" w:line="281"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tulo2Char">
    <w:name w:val="Título 2 Char"/>
    <w:link w:val="Ttulo2"/>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8C5D0D"/>
    <w:pPr>
      <w:tabs>
        <w:tab w:val="center" w:pos="4252"/>
        <w:tab w:val="right" w:pos="8504"/>
      </w:tabs>
      <w:spacing w:after="0" w:line="240" w:lineRule="auto"/>
    </w:pPr>
  </w:style>
  <w:style w:type="character" w:customStyle="1" w:styleId="RodapChar">
    <w:name w:val="Rodapé Char"/>
    <w:basedOn w:val="Fontepargpadro"/>
    <w:link w:val="Rodap"/>
    <w:uiPriority w:val="99"/>
    <w:rsid w:val="008C5D0D"/>
    <w:rPr>
      <w:rFonts w:ascii="Calibri" w:eastAsia="Calibri" w:hAnsi="Calibri" w:cs="Calibri"/>
      <w:color w:val="000000"/>
    </w:rPr>
  </w:style>
  <w:style w:type="character" w:styleId="Hyperlink">
    <w:name w:val="Hyperlink"/>
    <w:basedOn w:val="Fontepargpadro"/>
    <w:uiPriority w:val="99"/>
    <w:unhideWhenUsed/>
    <w:rsid w:val="008C5D0D"/>
    <w:rPr>
      <w:color w:val="0563C1" w:themeColor="hyperlink"/>
      <w:u w:val="single"/>
    </w:rPr>
  </w:style>
  <w:style w:type="paragraph" w:styleId="PargrafodaLista">
    <w:name w:val="List Paragraph"/>
    <w:basedOn w:val="Normal"/>
    <w:uiPriority w:val="34"/>
    <w:qFormat/>
    <w:rsid w:val="000E10A9"/>
    <w:pPr>
      <w:ind w:left="720"/>
      <w:contextualSpacing/>
    </w:pPr>
  </w:style>
  <w:style w:type="character" w:styleId="Refdecomentrio">
    <w:name w:val="annotation reference"/>
    <w:basedOn w:val="Fontepargpadro"/>
    <w:uiPriority w:val="99"/>
    <w:semiHidden/>
    <w:unhideWhenUsed/>
    <w:rsid w:val="009257BE"/>
    <w:rPr>
      <w:sz w:val="16"/>
      <w:szCs w:val="16"/>
    </w:rPr>
  </w:style>
  <w:style w:type="paragraph" w:styleId="Textodecomentrio">
    <w:name w:val="annotation text"/>
    <w:basedOn w:val="Normal"/>
    <w:link w:val="TextodecomentrioChar"/>
    <w:uiPriority w:val="99"/>
    <w:semiHidden/>
    <w:unhideWhenUsed/>
    <w:rsid w:val="009257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57BE"/>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257BE"/>
    <w:rPr>
      <w:b/>
      <w:bCs/>
    </w:rPr>
  </w:style>
  <w:style w:type="character" w:customStyle="1" w:styleId="AssuntodocomentrioChar">
    <w:name w:val="Assunto do comentário Char"/>
    <w:basedOn w:val="TextodecomentrioChar"/>
    <w:link w:val="Assuntodocomentrio"/>
    <w:uiPriority w:val="99"/>
    <w:semiHidden/>
    <w:rsid w:val="009257BE"/>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B9287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287C"/>
    <w:rPr>
      <w:rFonts w:ascii="Segoe UI" w:eastAsia="Calibri" w:hAnsi="Segoe UI" w:cs="Segoe UI"/>
      <w:color w:val="000000"/>
      <w:sz w:val="18"/>
      <w:szCs w:val="18"/>
    </w:rPr>
  </w:style>
  <w:style w:type="paragraph" w:customStyle="1" w:styleId="Contedodatabela">
    <w:name w:val="Conteúdo da tabela"/>
    <w:basedOn w:val="Normal"/>
    <w:rsid w:val="000115BC"/>
    <w:pPr>
      <w:widowControl w:val="0"/>
      <w:suppressLineNumbers/>
      <w:suppressAutoHyphens/>
      <w:autoSpaceDN w:val="0"/>
      <w:spacing w:after="0" w:line="240" w:lineRule="auto"/>
      <w:ind w:right="0" w:firstLine="0"/>
      <w:jc w:val="left"/>
    </w:pPr>
    <w:rPr>
      <w:rFonts w:ascii="Cambria" w:eastAsia="MS Mincho" w:hAnsi="Cambria" w:cs="Cambria"/>
      <w:color w:val="00000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upb.gov.br/" TargetMode="External"/><Relationship Id="rId13" Type="http://schemas.openxmlformats.org/officeDocument/2006/relationships/hyperlink" Target="http://www.caupb.gov.br/" TargetMode="External"/><Relationship Id="rId18" Type="http://schemas.openxmlformats.org/officeDocument/2006/relationships/hyperlink" Target="http://www.caupb.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aupb.gov.br/" TargetMode="External"/><Relationship Id="rId7" Type="http://schemas.openxmlformats.org/officeDocument/2006/relationships/endnotes" Target="endnotes.xml"/><Relationship Id="rId12" Type="http://schemas.openxmlformats.org/officeDocument/2006/relationships/hyperlink" Target="http://www.caupb.gov.br/" TargetMode="External"/><Relationship Id="rId17" Type="http://schemas.openxmlformats.org/officeDocument/2006/relationships/hyperlink" Target="http://www.caupb.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upb.gov.br/" TargetMode="External"/><Relationship Id="rId20" Type="http://schemas.openxmlformats.org/officeDocument/2006/relationships/hyperlink" Target="http://www.caupb.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upb.gov.br/" TargetMode="Externa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caupb.gov.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aupb.gov.br/" TargetMode="External"/><Relationship Id="rId19" Type="http://schemas.openxmlformats.org/officeDocument/2006/relationships/hyperlink" Target="http://www.caupb.gov.b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caupb.gov.br/" TargetMode="External"/><Relationship Id="rId14" Type="http://schemas.openxmlformats.org/officeDocument/2006/relationships/hyperlink" Target="http://www.caupb.gov.br/" TargetMode="External"/><Relationship Id="rId22" Type="http://schemas.openxmlformats.org/officeDocument/2006/relationships/hyperlink" Target="http://www.caupb.gov.b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A535F-E548-4F9D-B003-C1A7F7A6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7788</Words>
  <Characters>42056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Conta da Microsoft</cp:lastModifiedBy>
  <cp:revision>4</cp:revision>
  <dcterms:created xsi:type="dcterms:W3CDTF">2023-10-19T11:02:00Z</dcterms:created>
  <dcterms:modified xsi:type="dcterms:W3CDTF">2023-10-19T11:31:00Z</dcterms:modified>
</cp:coreProperties>
</file>